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4140" w:right="3520" w:hanging="4116"/>
        <w:spacing w:after="0" w:line="429" w:lineRule="auto"/>
        <w:tabs>
          <w:tab w:leader="none" w:pos="519"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April 30, 2026</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58" w:lineRule="exact"/>
        <w:rPr>
          <w:sz w:val="24"/>
          <w:szCs w:val="24"/>
          <w:color w:val="auto"/>
        </w:rPr>
      </w:pPr>
    </w:p>
    <w:p>
      <w:pPr>
        <w:ind w:left="3940" w:right="3520" w:hanging="3916"/>
        <w:spacing w:after="0" w:line="423" w:lineRule="auto"/>
        <w:tabs>
          <w:tab w:leader="none" w:pos="528"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RENT THE RUNWAY, INC.</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300" w:top="1008" w:right="299" w:bottom="1440" w:gutter="0" w:footer="0" w:header="0"/>
        </w:sectPr>
      </w:pPr>
    </w:p>
    <w:p>
      <w:pPr>
        <w:spacing w:after="0" w:line="21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35502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95"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30"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9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10 Jay Street</w:t>
      </w:r>
    </w:p>
    <w:p>
      <w:pPr>
        <w:spacing w:after="0" w:line="23"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Brooklyn,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5502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28" w:lineRule="exact"/>
        <w:rPr>
          <w:sz w:val="24"/>
          <w:szCs w:val="24"/>
          <w:color w:val="auto"/>
        </w:rPr>
      </w:pPr>
    </w:p>
    <w:p>
      <w:pPr>
        <w:ind w:left="15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68580</wp:posOffset>
            </wp:positionV>
            <wp:extent cx="35572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79"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82550</wp:posOffset>
            </wp:positionV>
            <wp:extent cx="35572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59" w:lineRule="exact"/>
        <w:rPr>
          <w:sz w:val="24"/>
          <w:szCs w:val="24"/>
          <w:color w:val="auto"/>
        </w:rPr>
      </w:pPr>
    </w:p>
    <w:p>
      <w:pPr>
        <w:ind w:left="2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220" w:space="720"/>
            <w:col w:w="3360"/>
          </w:cols>
          <w:pgMar w:left="300" w:top="1008" w:right="299" w:bottom="1440" w:gutter="0" w:footer="0" w:header="0"/>
          <w:type w:val="continuous"/>
        </w:sectPr>
      </w:pP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(212) 524-6860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5700" w:type="dxa"/>
            <w:vAlign w:val="bottom"/>
          </w:tcPr>
          <w:p>
            <w:pPr>
              <w:jc w:val="right"/>
              <w:spacing w:after="0"/>
              <w:rPr>
                <w:sz w:val="20"/>
                <w:szCs w:val="20"/>
                <w:color w:val="auto"/>
              </w:rPr>
            </w:pPr>
            <w:r>
              <w:rPr>
                <w:rFonts w:ascii="Arial" w:cs="Arial" w:eastAsia="Arial" w:hAnsi="Arial"/>
                <w:sz w:val="14"/>
                <w:szCs w:val="14"/>
                <w:color w:val="auto"/>
              </w:rPr>
              <w:t>months (or for such shorter period that the registrant was required to file such reports); and</w:t>
            </w:r>
          </w:p>
        </w:tc>
        <w:tc>
          <w:tcPr>
            <w:tcW w:w="558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r>
      <w:tr>
        <w:trPr>
          <w:trHeight w:val="553"/>
        </w:trPr>
        <w:tc>
          <w:tcPr>
            <w:tcW w:w="570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tcPr>
          <w:p>
            <w:pPr>
              <w:spacing w:after="0"/>
              <w:rPr>
                <w:sz w:val="24"/>
                <w:szCs w:val="24"/>
                <w:color w:val="auto"/>
              </w:rPr>
            </w:pPr>
          </w:p>
        </w:tc>
      </w:tr>
      <w:tr>
        <w:trPr>
          <w:trHeight w:val="85"/>
        </w:trPr>
        <w:tc>
          <w:tcPr>
            <w:tcW w:w="5700" w:type="dxa"/>
            <w:vAlign w:val="bottom"/>
            <w:tcBorders>
              <w:bottom w:val="single" w:sz="8" w:color="9A9A9A"/>
            </w:tcBorders>
          </w:tcPr>
          <w:p>
            <w:pPr>
              <w:spacing w:after="0"/>
              <w:rPr>
                <w:sz w:val="7"/>
                <w:szCs w:val="7"/>
                <w:color w:val="auto"/>
              </w:rPr>
            </w:pPr>
          </w:p>
        </w:tc>
        <w:tc>
          <w:tcPr>
            <w:tcW w:w="5580" w:type="dxa"/>
            <w:vAlign w:val="bottom"/>
            <w:tcBorders>
              <w:bottom w:val="single" w:sz="8" w:color="9A9A9A"/>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type w:val="continuous"/>
        </w:sectPr>
      </w:pPr>
    </w:p>
    <w:bookmarkStart w:id="1" w:name="page2"/>
    <w:bookmarkEnd w:id="1"/>
    <w:p>
      <w:pPr>
        <w:ind w:right="80"/>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9"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5"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7"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1"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7820"/>
        <w:spacing w:after="0"/>
        <w:rPr>
          <w:sz w:val="20"/>
          <w:szCs w:val="20"/>
          <w:color w:val="auto"/>
        </w:rPr>
      </w:pPr>
      <w:r>
        <w:rPr>
          <w:rFonts w:ascii="Arial" w:cs="Arial" w:eastAsia="Arial" w:hAnsi="Arial"/>
          <w:sz w:val="14"/>
          <w:szCs w:val="14"/>
          <w:color w:val="auto"/>
        </w:rPr>
        <w:t>Emerging growth company</w:t>
      </w:r>
    </w:p>
    <w:p>
      <w:pPr>
        <w:ind w:left="109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80"/>
          </w:cols>
          <w:pgMar w:left="300" w:top="899" w:right="319" w:bottom="1440" w:gutter="0" w:footer="0" w:header="0"/>
          <w:type w:val="continuous"/>
        </w:sectPr>
      </w:pPr>
    </w:p>
    <w:p>
      <w:pPr>
        <w:spacing w:after="0" w:line="279" w:lineRule="exact"/>
        <w:rPr>
          <w:sz w:val="20"/>
          <w:szCs w:val="20"/>
          <w:color w:val="auto"/>
        </w:rPr>
      </w:pPr>
    </w:p>
    <w:p>
      <w:pPr>
        <w:ind w:right="54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0"/>
          <w:szCs w:val="20"/>
          <w:color w:val="auto"/>
        </w:rPr>
      </w:pPr>
    </w:p>
    <w:p>
      <w:pPr>
        <w:ind w:right="2740"/>
        <w:spacing w:after="0" w:line="28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registrant had outstanding 33,586,429 shares of Class A common stock and 0 shares of Class B common stock as of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 I</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tcBorders>
              <w:bottom w:val="single" w:sz="8" w:color="CCEEFF"/>
            </w:tcBorders>
            <w:gridSpan w:val="2"/>
            <w:shd w:val="clear" w:color="auto" w:fill="CCEEFF"/>
          </w:tcPr>
          <w:p>
            <w:pPr>
              <w:spacing w:after="0"/>
              <w:rPr>
                <w:sz w:val="13"/>
                <w:szCs w:val="13"/>
                <w:color w:val="auto"/>
              </w:rPr>
            </w:pPr>
          </w:p>
        </w:tc>
        <w:tc>
          <w:tcPr>
            <w:tcW w:w="2100" w:type="dxa"/>
            <w:vAlign w:val="bottom"/>
            <w:tcBorders>
              <w:bottom w:val="single" w:sz="8" w:color="0000FF"/>
            </w:tcBorders>
            <w:gridSpan w:val="8"/>
            <w:shd w:val="clear" w:color="auto" w:fill="CCEEFF"/>
          </w:tcPr>
          <w:p>
            <w:pPr>
              <w:spacing w:after="0" w:line="149" w:lineRule="exact"/>
              <w:rPr>
                <w:sz w:val="20"/>
                <w:szCs w:val="20"/>
                <w:color w:val="auto"/>
              </w:rPr>
            </w:pPr>
            <w:r>
              <w:rPr>
                <w:rFonts w:ascii="Arial" w:cs="Arial" w:eastAsia="Arial" w:hAnsi="Arial"/>
                <w:sz w:val="14"/>
                <w:szCs w:val="14"/>
                <w:color w:val="0000FF"/>
              </w:rPr>
              <w:t>Financial Statements (Unaudited)</w:t>
            </w:r>
          </w:p>
        </w:tc>
        <w:tc>
          <w:tcPr>
            <w:tcW w:w="732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2.</w:t>
            </w:r>
          </w:p>
        </w:tc>
        <w:tc>
          <w:tcPr>
            <w:tcW w:w="580" w:type="dxa"/>
            <w:vAlign w:val="bottom"/>
            <w:gridSpan w:val="2"/>
          </w:tcPr>
          <w:p>
            <w:pPr>
              <w:spacing w:after="0"/>
              <w:rPr>
                <w:sz w:val="13"/>
                <w:szCs w:val="13"/>
                <w:color w:val="auto"/>
              </w:rPr>
            </w:pPr>
          </w:p>
        </w:tc>
        <w:tc>
          <w:tcPr>
            <w:tcW w:w="5560" w:type="dxa"/>
            <w:vAlign w:val="bottom"/>
            <w:tcBorders>
              <w:bottom w:val="single" w:sz="8" w:color="0000FF"/>
            </w:tcBorders>
            <w:gridSpan w:val="11"/>
          </w:tcPr>
          <w:p>
            <w:pPr>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86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3.</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3700" w:type="dxa"/>
            <w:vAlign w:val="bottom"/>
            <w:tcBorders>
              <w:bottom w:val="single" w:sz="8" w:color="0000FF"/>
            </w:tcBorders>
            <w:gridSpan w:val="9"/>
            <w:shd w:val="clear" w:color="auto" w:fill="CCEEFF"/>
          </w:tcPr>
          <w:p>
            <w:pPr>
              <w:spacing w:after="0" w:line="155" w:lineRule="exact"/>
              <w:rPr>
                <w:sz w:val="20"/>
                <w:szCs w:val="20"/>
                <w:color w:val="auto"/>
              </w:rPr>
            </w:pPr>
            <w:r>
              <w:rPr>
                <w:rFonts w:ascii="Arial" w:cs="Arial" w:eastAsia="Arial" w:hAnsi="Arial"/>
                <w:sz w:val="14"/>
                <w:szCs w:val="14"/>
                <w:color w:val="0000FF"/>
              </w:rPr>
              <w:t>Quantitative and Qualitative Disclosures About Market Risk</w:t>
            </w:r>
          </w:p>
        </w:tc>
        <w:tc>
          <w:tcPr>
            <w:tcW w:w="5720" w:type="dxa"/>
            <w:vAlign w:val="bottom"/>
            <w:tcBorders>
              <w:bottom w:val="single" w:sz="8" w:color="CCEEFF"/>
            </w:tcBorders>
            <w:gridSpan w:val="3"/>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4.</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Controls and Procedures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right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II</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gridSpan w:val="2"/>
            <w:shd w:val="clear" w:color="auto" w:fill="CCEEFF"/>
          </w:tcPr>
          <w:p>
            <w:pPr>
              <w:spacing w:after="0"/>
              <w:rPr>
                <w:sz w:val="12"/>
                <w:szCs w:val="12"/>
                <w:color w:val="auto"/>
              </w:rPr>
            </w:pPr>
          </w:p>
        </w:tc>
        <w:tc>
          <w:tcPr>
            <w:tcW w:w="9420" w:type="dxa"/>
            <w:vAlign w:val="bottom"/>
            <w:gridSpan w:val="12"/>
            <w:shd w:val="clear" w:color="auto" w:fill="CCEEFF"/>
          </w:tcPr>
          <w:p>
            <w:pPr>
              <w:spacing w:after="0" w:line="149" w:lineRule="exact"/>
              <w:rPr>
                <w:sz w:val="20"/>
                <w:szCs w:val="20"/>
                <w:color w:val="auto"/>
              </w:rPr>
            </w:pPr>
            <w:r>
              <w:rPr>
                <w:rFonts w:ascii="Arial" w:cs="Arial" w:eastAsia="Arial" w:hAnsi="Arial"/>
                <w:sz w:val="14"/>
                <w:szCs w:val="14"/>
                <w:color w:val="0000FF"/>
              </w:rPr>
              <w:t>Legal Proceedings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1A.</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Risk Factors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line="155" w:lineRule="exact"/>
              <w:rPr>
                <w:sz w:val="20"/>
                <w:szCs w:val="20"/>
                <w:color w:val="auto"/>
              </w:rPr>
            </w:pPr>
            <w:r>
              <w:rPr>
                <w:rFonts w:ascii="Arial" w:cs="Arial" w:eastAsia="Arial" w:hAnsi="Arial"/>
                <w:sz w:val="14"/>
                <w:szCs w:val="14"/>
                <w:color w:val="0000FF"/>
                <w:w w:val="98"/>
              </w:rPr>
              <w:t>Item 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20" w:type="dxa"/>
            <w:vAlign w:val="bottom"/>
            <w:gridSpan w:val="12"/>
            <w:shd w:val="clear" w:color="auto" w:fill="CCEEFF"/>
          </w:tcPr>
          <w:p>
            <w:pPr>
              <w:spacing w:after="0" w:line="155" w:lineRule="exact"/>
              <w:rPr>
                <w:sz w:val="20"/>
                <w:szCs w:val="20"/>
                <w:color w:val="auto"/>
              </w:rPr>
            </w:pPr>
            <w:r>
              <w:rPr>
                <w:rFonts w:ascii="Arial" w:cs="Arial" w:eastAsia="Arial" w:hAnsi="Arial"/>
                <w:sz w:val="14"/>
                <w:szCs w:val="14"/>
                <w:color w:val="0000FF"/>
              </w:rPr>
              <w:t>Unregistered Sales of Equity Securities and Use of Proceeds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98"/>
              </w:rPr>
              <w:t>Item 3.</w:t>
            </w:r>
          </w:p>
        </w:tc>
        <w:tc>
          <w:tcPr>
            <w:tcW w:w="580" w:type="dxa"/>
            <w:vAlign w:val="bottom"/>
            <w:tcBorders>
              <w:top w:val="single" w:sz="8" w:color="CCEEFF"/>
            </w:tcBorders>
            <w:gridSpan w:val="2"/>
          </w:tcPr>
          <w:p>
            <w:pPr>
              <w:spacing w:after="0"/>
              <w:rPr>
                <w:sz w:val="13"/>
                <w:szCs w:val="13"/>
                <w:color w:val="auto"/>
              </w:rPr>
            </w:pPr>
          </w:p>
        </w:tc>
        <w:tc>
          <w:tcPr>
            <w:tcW w:w="3800" w:type="dxa"/>
            <w:vAlign w:val="bottom"/>
            <w:tcBorders>
              <w:top w:val="single" w:sz="8" w:color="0000FF"/>
            </w:tcBorders>
            <w:gridSpan w:val="10"/>
          </w:tcPr>
          <w:p>
            <w:pPr>
              <w:spacing w:after="0" w:line="149" w:lineRule="exact"/>
              <w:rPr>
                <w:sz w:val="20"/>
                <w:szCs w:val="20"/>
                <w:color w:val="auto"/>
              </w:rPr>
            </w:pPr>
            <w:r>
              <w:rPr>
                <w:rFonts w:ascii="Arial" w:cs="Arial" w:eastAsia="Arial" w:hAnsi="Arial"/>
                <w:sz w:val="14"/>
                <w:szCs w:val="14"/>
                <w:color w:val="0000FF"/>
              </w:rPr>
              <w:t>Defaults Upon Senior Securities</w:t>
            </w:r>
          </w:p>
        </w:tc>
        <w:tc>
          <w:tcPr>
            <w:tcW w:w="5620" w:type="dxa"/>
            <w:vAlign w:val="bottom"/>
            <w:tcBorders>
              <w:top w:val="single" w:sz="8" w:color="CCEEFF"/>
            </w:tcBorders>
            <w:gridSpan w:val="2"/>
          </w:tcPr>
          <w:p>
            <w:pPr>
              <w:spacing w:after="0"/>
              <w:rPr>
                <w:sz w:val="13"/>
                <w:szCs w:val="13"/>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4.</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top w:val="single" w:sz="8" w:color="0000FF"/>
              <w:bottom w:val="single" w:sz="8" w:color="0000FF"/>
            </w:tcBorders>
            <w:gridSpan w:val="5"/>
            <w:shd w:val="clear" w:color="auto" w:fill="CCEEFF"/>
          </w:tcPr>
          <w:p>
            <w:pPr>
              <w:spacing w:after="0" w:line="155" w:lineRule="exact"/>
              <w:rPr>
                <w:sz w:val="20"/>
                <w:szCs w:val="20"/>
                <w:color w:val="auto"/>
              </w:rPr>
            </w:pPr>
            <w:r>
              <w:rPr>
                <w:rFonts w:ascii="Arial" w:cs="Arial" w:eastAsia="Arial" w:hAnsi="Arial"/>
                <w:sz w:val="14"/>
                <w:szCs w:val="14"/>
                <w:color w:val="0000FF"/>
                <w:w w:val="99"/>
              </w:rPr>
              <w:t>Mine Safety Disclosures</w:t>
            </w:r>
          </w:p>
        </w:tc>
        <w:tc>
          <w:tcPr>
            <w:tcW w:w="4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7420" w:type="dxa"/>
            <w:vAlign w:val="bottom"/>
            <w:tcBorders>
              <w:bottom w:val="single" w:sz="8" w:color="CCEEFF"/>
            </w:tcBorders>
            <w:gridSpan w:val="5"/>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5.</w:t>
            </w:r>
          </w:p>
        </w:tc>
        <w:tc>
          <w:tcPr>
            <w:tcW w:w="580" w:type="dxa"/>
            <w:vAlign w:val="bottom"/>
            <w:gridSpan w:val="2"/>
          </w:tcPr>
          <w:p>
            <w:pPr>
              <w:spacing w:after="0"/>
              <w:rPr>
                <w:sz w:val="13"/>
                <w:szCs w:val="13"/>
                <w:color w:val="auto"/>
              </w:rPr>
            </w:pPr>
          </w:p>
        </w:tc>
        <w:tc>
          <w:tcPr>
            <w:tcW w:w="1160" w:type="dxa"/>
            <w:vAlign w:val="bottom"/>
            <w:tcBorders>
              <w:bottom w:val="single" w:sz="8" w:color="0000FF"/>
            </w:tcBorders>
            <w:gridSpan w:val="4"/>
          </w:tcPr>
          <w:p>
            <w:pPr>
              <w:spacing w:after="0" w:line="149" w:lineRule="exact"/>
              <w:rPr>
                <w:sz w:val="20"/>
                <w:szCs w:val="20"/>
                <w:color w:val="auto"/>
              </w:rPr>
            </w:pPr>
            <w:r>
              <w:rPr>
                <w:rFonts w:ascii="Arial" w:cs="Arial" w:eastAsia="Arial" w:hAnsi="Arial"/>
                <w:sz w:val="14"/>
                <w:szCs w:val="14"/>
                <w:color w:val="0000FF"/>
              </w:rPr>
              <w:t>Other Information</w:t>
            </w:r>
          </w:p>
        </w:tc>
        <w:tc>
          <w:tcPr>
            <w:tcW w:w="8260" w:type="dxa"/>
            <w:vAlign w:val="bottom"/>
            <w:gridSpan w:val="8"/>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6.</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7"/>
              </w:rPr>
              <w:t>Exhibits</w:t>
            </w:r>
          </w:p>
        </w:tc>
        <w:tc>
          <w:tcPr>
            <w:tcW w:w="8920" w:type="dxa"/>
            <w:vAlign w:val="bottom"/>
            <w:tcBorders>
              <w:bottom w:val="single" w:sz="8" w:color="CCEEFF"/>
            </w:tcBorders>
            <w:gridSpan w:val="11"/>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w w:val="98"/>
              </w:rPr>
              <w:t>Signatures</w:t>
            </w:r>
          </w:p>
        </w:tc>
        <w:tc>
          <w:tcPr>
            <w:tcW w:w="8740" w:type="dxa"/>
            <w:vAlign w:val="bottom"/>
            <w:gridSpan w:val="10"/>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17"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drive future growth or manage our growth effectively, our brand, Company culture, and financial performance may suffer.</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61" w:lineRule="exact"/>
        <w:rPr>
          <w:rFonts w:ascii="Arial" w:cs="Arial" w:eastAsia="Arial" w:hAnsi="Arial"/>
          <w:sz w:val="14"/>
          <w:szCs w:val="14"/>
          <w:color w:val="auto"/>
        </w:rPr>
      </w:pPr>
    </w:p>
    <w:p>
      <w:pPr>
        <w:ind w:left="520" w:right="1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 and developments, including global trade policies and tariffs.</w:t>
      </w:r>
    </w:p>
    <w:p>
      <w:pPr>
        <w:spacing w:after="0" w:line="3" w:lineRule="exact"/>
        <w:rPr>
          <w:rFonts w:ascii="Arial" w:cs="Arial" w:eastAsia="Arial" w:hAnsi="Arial"/>
          <w:sz w:val="14"/>
          <w:szCs w:val="14"/>
          <w:color w:val="auto"/>
        </w:rPr>
      </w:pPr>
    </w:p>
    <w:p>
      <w:pPr>
        <w:ind w:left="520" w:right="5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fluctuate based on our level of investment and success in our marketing initiatives. If we are unable to cost-effectively grow our customer base, our business, financial condition and results of operations would be harmed.</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acquire and manage our products effectively and plan for future expenses, our operating results could be adversely affected.</w:t>
      </w:r>
    </w:p>
    <w:p>
      <w:pPr>
        <w:spacing w:after="0" w:line="61" w:lineRule="exact"/>
        <w:rPr>
          <w:rFonts w:ascii="Arial" w:cs="Arial" w:eastAsia="Arial" w:hAnsi="Arial"/>
          <w:sz w:val="14"/>
          <w:szCs w:val="14"/>
          <w:color w:val="auto"/>
        </w:rPr>
      </w:pPr>
    </w:p>
    <w:p>
      <w:pPr>
        <w:ind w:left="480" w:hanging="22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use of AI may subject us to new or heightened legal, regulatory, ethical, operational or other challenges.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Failure to successfully recruit a permanent CEO and CFO and manage these leadership transitions could materially adversely affect our business.</w:t>
      </w:r>
    </w:p>
    <w:p>
      <w:pPr>
        <w:spacing w:after="0" w:line="61" w:lineRule="exact"/>
        <w:rPr>
          <w:rFonts w:ascii="Arial" w:cs="Arial" w:eastAsia="Arial" w:hAnsi="Arial"/>
          <w:sz w:val="14"/>
          <w:szCs w:val="14"/>
          <w:b w:val="1"/>
          <w:bCs w:val="1"/>
          <w:i w:val="1"/>
          <w:iCs w:val="1"/>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cost-cutting and restructuring of our operations, which could adversely affect our financial condition, results of operations, cash flows, or business reputation.</w:t>
      </w:r>
    </w:p>
    <w:p>
      <w:pPr>
        <w:spacing w:after="0" w:line="3" w:lineRule="exact"/>
        <w:rPr>
          <w:rFonts w:ascii="Arial" w:cs="Arial" w:eastAsia="Arial" w:hAnsi="Arial"/>
          <w:sz w:val="14"/>
          <w:szCs w:val="14"/>
          <w:color w:val="auto"/>
        </w:rPr>
      </w:pPr>
    </w:p>
    <w:p>
      <w:pPr>
        <w:ind w:left="520" w:right="3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4"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fail to realize all of the anticipated benefits of the Recapitalization Transactions, or those benefits may be short-lived or insufficient for our future needs.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manage our Board transition and related changes could materially adversely affect our business.</w:t>
      </w:r>
    </w:p>
    <w:p>
      <w:pPr>
        <w:spacing w:after="0" w:line="72" w:lineRule="exact"/>
        <w:rPr>
          <w:rFonts w:ascii="Arial" w:cs="Arial" w:eastAsia="Arial" w:hAnsi="Arial"/>
          <w:sz w:val="14"/>
          <w:szCs w:val="14"/>
          <w:color w:val="auto"/>
        </w:rPr>
      </w:pPr>
    </w:p>
    <w:p>
      <w:pPr>
        <w:ind w:left="520" w:right="10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6" w:lineRule="exact"/>
        <w:rPr>
          <w:rFonts w:ascii="Arial" w:cs="Arial" w:eastAsia="Arial" w:hAnsi="Arial"/>
          <w:sz w:val="14"/>
          <w:szCs w:val="14"/>
          <w:color w:val="auto"/>
        </w:rPr>
      </w:pPr>
    </w:p>
    <w:p>
      <w:pPr>
        <w:ind w:left="520" w:right="4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4" w:name="page5"/>
    <w:bookmarkEnd w:id="4"/>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72" w:lineRule="exact"/>
        <w:rPr>
          <w:rFonts w:ascii="Arial" w:cs="Arial" w:eastAsia="Arial" w:hAnsi="Arial"/>
          <w:sz w:val="14"/>
          <w:szCs w:val="14"/>
          <w:color w:val="auto"/>
        </w:rPr>
      </w:pPr>
    </w:p>
    <w:p>
      <w:pPr>
        <w:ind w:left="520" w:right="38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the experience and expertise of our senior management team, key technical and strategic employees and hourly personnel.</w:t>
      </w:r>
    </w:p>
    <w:p>
      <w:pPr>
        <w:spacing w:after="0" w:line="61" w:lineRule="exact"/>
        <w:rPr>
          <w:rFonts w:ascii="Arial" w:cs="Arial" w:eastAsia="Arial" w:hAnsi="Arial"/>
          <w:sz w:val="14"/>
          <w:szCs w:val="14"/>
          <w:color w:val="auto"/>
        </w:rPr>
      </w:pPr>
    </w:p>
    <w:p>
      <w:pPr>
        <w:ind w:left="520" w:right="44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adequately obtain, maintain, protect and enforce our intellectual property and proprietary rights could harm our brand, devalue our proprietary content, and adversely affect our ability to compete effectively.</w:t>
      </w:r>
    </w:p>
    <w:p>
      <w:pPr>
        <w:spacing w:after="0" w:line="14" w:lineRule="exact"/>
        <w:rPr>
          <w:rFonts w:ascii="Arial" w:cs="Arial" w:eastAsia="Arial" w:hAnsi="Arial"/>
          <w:sz w:val="14"/>
          <w:szCs w:val="14"/>
          <w:color w:val="auto"/>
        </w:rPr>
      </w:pPr>
    </w:p>
    <w:p>
      <w:pPr>
        <w:ind w:left="520" w:right="10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brand and manufacturing partners from whom our products are sourced or co-manufactured.</w:t>
      </w:r>
    </w:p>
    <w:p>
      <w:pPr>
        <w:spacing w:after="0" w:line="61" w:lineRule="exact"/>
        <w:rPr>
          <w:rFonts w:ascii="Arial" w:cs="Arial" w:eastAsia="Arial" w:hAnsi="Arial"/>
          <w:sz w:val="14"/>
          <w:szCs w:val="14"/>
          <w:color w:val="auto"/>
        </w:rPr>
      </w:pPr>
    </w:p>
    <w:p>
      <w:pPr>
        <w:ind w:left="520" w:right="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third parties to provide payment processing infrastructure underlying our business. If these third-party providers become unavailable or unavailable on favorable terms, our business could be adversely affected.</w:t>
      </w:r>
    </w:p>
    <w:p>
      <w:pPr>
        <w:spacing w:after="0" w:line="14" w:lineRule="exact"/>
        <w:rPr>
          <w:rFonts w:ascii="Arial" w:cs="Arial" w:eastAsia="Arial" w:hAnsi="Arial"/>
          <w:sz w:val="14"/>
          <w:szCs w:val="14"/>
          <w:color w:val="auto"/>
        </w:rPr>
      </w:pPr>
    </w:p>
    <w:p>
      <w:pPr>
        <w:ind w:left="520" w:right="2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spacing w:after="0" w:line="16" w:lineRule="exact"/>
        <w:rPr>
          <w:rFonts w:ascii="Arial" w:cs="Arial" w:eastAsia="Arial" w:hAnsi="Arial"/>
          <w:sz w:val="14"/>
          <w:szCs w:val="14"/>
          <w:color w:val="auto"/>
        </w:rPr>
      </w:pPr>
    </w:p>
    <w:p>
      <w:pPr>
        <w:ind w:left="520" w:right="260" w:hanging="260"/>
        <w:spacing w:after="0" w:line="28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ind w:left="520" w:hanging="260"/>
        <w:spacing w:after="0" w:line="27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14" w:lineRule="exact"/>
        <w:rPr>
          <w:rFonts w:ascii="Arial" w:cs="Arial" w:eastAsia="Arial" w:hAnsi="Arial"/>
          <w:sz w:val="14"/>
          <w:szCs w:val="14"/>
          <w:color w:val="auto"/>
        </w:rPr>
      </w:pPr>
    </w:p>
    <w:p>
      <w:pPr>
        <w:ind w:left="520" w:right="3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a “controlled company” within the meaning of the rules and listing standards of The Nasdaq Stock Market LLC (Nasdaq) and rely on exemptions from certain corporate governance requirements, which means that our stockholders do not have the same protections as those afforded to stockholders of companies that are not “controlled.” This could make our Class A common stock less attractive to investors or otherwise harm our stock price.</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currently noncompliant with Nasdaq Listing Rule 5605(c)(2)(A), which requires listed companies to have at least three audit committee members.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4" w:right="37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4"/>
          <w:szCs w:val="14"/>
          <w:b w:val="1"/>
          <w:bCs w:val="1"/>
          <w:color w:val="auto"/>
        </w:rPr>
        <w:t>FORWARD-LOOKING STATEMENTS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the anticipated benefits of the Recapitalization Transactions, our future results of operations and financial position, industry and business trends, share-based compensation, business strategy and initiatives, including rental product acquisition, availability and quality initiatives, leadership transitions, AI initiatives, business plans, promotional and marketing strategy, impacts from our cost-savings initiatives, anticipated future expenditures, product acquisition expectations, compliance with our debt covenants, market growth and our objectives for future operations.</w:t>
      </w:r>
    </w:p>
    <w:p>
      <w:pPr>
        <w:spacing w:after="0" w:line="6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 -looking statements, including, but not limited to, the important factors discussed in Part II, Item 1A, “Risk Factors” in this Quarterly Report for the quarter ended April 30, 2026.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58"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60" w:type="dxa"/>
            <w:vAlign w:val="bottom"/>
            <w:gridSpan w:val="5"/>
          </w:tcPr>
          <w:p>
            <w:pPr>
              <w:ind w:left="740"/>
              <w:spacing w:after="0"/>
              <w:rPr>
                <w:sz w:val="20"/>
                <w:szCs w:val="20"/>
                <w:color w:val="auto"/>
              </w:rPr>
            </w:pPr>
            <w:r>
              <w:rPr>
                <w:rFonts w:ascii="Arial" w:cs="Arial" w:eastAsia="Arial" w:hAnsi="Arial"/>
                <w:sz w:val="14"/>
                <w:szCs w:val="14"/>
                <w:b w:val="1"/>
                <w:bCs w:val="1"/>
                <w:color w:val="auto"/>
              </w:rPr>
              <w:t>Part I - Financial Information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10200" w:type="dxa"/>
            <w:vAlign w:val="bottom"/>
            <w:gridSpan w:val="20"/>
          </w:tcPr>
          <w:p>
            <w:pPr>
              <w:spacing w:after="0"/>
              <w:rPr>
                <w:sz w:val="20"/>
                <w:szCs w:val="20"/>
                <w:color w:val="auto"/>
              </w:rPr>
            </w:pPr>
            <w:r>
              <w:rPr>
                <w:rFonts w:ascii="Arial" w:cs="Arial" w:eastAsia="Arial" w:hAnsi="Arial"/>
                <w:sz w:val="14"/>
                <w:szCs w:val="14"/>
                <w:b w:val="1"/>
                <w:bCs w:val="1"/>
                <w:color w:val="auto"/>
              </w:rPr>
              <w:t>Item 1.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6920" w:type="dxa"/>
            <w:vAlign w:val="bottom"/>
            <w:gridSpan w:val="15"/>
            <w:vMerge w:val="restart"/>
          </w:tcPr>
          <w:p>
            <w:pPr>
              <w:spacing w:after="0"/>
              <w:rPr>
                <w:sz w:val="20"/>
                <w:szCs w:val="20"/>
                <w:color w:val="auto"/>
              </w:rPr>
            </w:pPr>
            <w:r>
              <w:rPr>
                <w:rFonts w:ascii="Arial" w:cs="Arial" w:eastAsia="Arial" w:hAnsi="Arial"/>
                <w:sz w:val="14"/>
                <w:szCs w:val="14"/>
                <w:color w:val="0000FF"/>
              </w:rPr>
              <w:t>Condensed Consolidated Balance Sheets - Unaudited as of April 30, 2026 and Audited as of January 31, 2026</w:t>
            </w:r>
          </w:p>
        </w:tc>
        <w:tc>
          <w:tcPr>
            <w:tcW w:w="3260" w:type="dxa"/>
            <w:vAlign w:val="bottom"/>
            <w:gridSpan w:val="4"/>
            <w:vMerge w:val="restart"/>
          </w:tcPr>
          <w:p>
            <w:pPr>
              <w:spacing w:after="0"/>
              <w:rPr>
                <w:sz w:val="24"/>
                <w:szCs w:val="24"/>
                <w:color w:val="auto"/>
              </w:rPr>
            </w:pP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Borders>
              <w:bottom w:val="single" w:sz="8" w:color="0000FF"/>
            </w:tcBorders>
            <w:gridSpan w:val="15"/>
            <w:vMerge w:val="continue"/>
          </w:tcPr>
          <w:p>
            <w:pPr>
              <w:spacing w:after="0"/>
              <w:rPr>
                <w:sz w:val="12"/>
                <w:szCs w:val="12"/>
                <w:color w:val="auto"/>
              </w:rPr>
            </w:pPr>
          </w:p>
        </w:tc>
        <w:tc>
          <w:tcPr>
            <w:tcW w:w="3260" w:type="dxa"/>
            <w:vAlign w:val="bottom"/>
            <w:gridSpan w:val="4"/>
            <w:vMerge w:val="continue"/>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8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rPr>
              <w:t>Condensed Consolidated Statements of Operations - Unaudited for the three months ended April 30, 2026 and 2025</w:t>
            </w:r>
          </w:p>
        </w:tc>
        <w:tc>
          <w:tcPr>
            <w:tcW w:w="2900" w:type="dxa"/>
            <w:vAlign w:val="bottom"/>
            <w:gridSpan w:val="3"/>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18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Changes in Stockholders’ Equity (Deficit) - Unaudited for the three months ended April 30, 2026 and 2025</w:t>
            </w: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140" w:type="dxa"/>
            <w:vAlign w:val="bottom"/>
            <w:tcBorders>
              <w:top w:val="single" w:sz="8" w:color="0000FF"/>
            </w:tcBorders>
            <w:gridSpan w:val="18"/>
          </w:tcPr>
          <w:p>
            <w:pPr>
              <w:spacing w:after="0"/>
              <w:rPr>
                <w:sz w:val="20"/>
                <w:szCs w:val="20"/>
                <w:color w:val="auto"/>
              </w:rPr>
            </w:pPr>
            <w:r>
              <w:rPr>
                <w:rFonts w:ascii="Arial" w:cs="Arial" w:eastAsia="Arial" w:hAnsi="Arial"/>
                <w:sz w:val="14"/>
                <w:szCs w:val="14"/>
                <w:color w:val="0000FF"/>
              </w:rPr>
              <w:t>Condensed Consolidated Statements of Cash Flows - Unaudited for the three months ended April 30, 2026 and 2025</w:t>
            </w:r>
          </w:p>
        </w:tc>
        <w:tc>
          <w:tcPr>
            <w:tcW w:w="10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20" w:type="dxa"/>
            <w:vAlign w:val="bottom"/>
            <w:tcBorders>
              <w:top w:val="single" w:sz="8" w:color="0000FF"/>
            </w:tcBorders>
            <w:gridSpan w:val="17"/>
          </w:tcPr>
          <w:p>
            <w:pPr>
              <w:spacing w:after="0"/>
              <w:rPr>
                <w:sz w:val="20"/>
                <w:szCs w:val="20"/>
                <w:color w:val="auto"/>
              </w:rPr>
            </w:pPr>
            <w:r>
              <w:rPr>
                <w:rFonts w:ascii="Arial" w:cs="Arial" w:eastAsia="Arial" w:hAnsi="Arial"/>
                <w:sz w:val="14"/>
                <w:szCs w:val="14"/>
                <w:b w:val="1"/>
                <w:bCs w:val="1"/>
                <w:color w:val="auto"/>
              </w:rPr>
              <w:t>Notes to Condensed Consolidated Financial Statements</w:t>
            </w:r>
          </w:p>
        </w:tc>
        <w:tc>
          <w:tcPr>
            <w:tcW w:w="286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rPr>
              <w:t>1.</w:t>
            </w:r>
          </w:p>
        </w:tc>
        <w:tc>
          <w:tcPr>
            <w:tcW w:w="600" w:type="dxa"/>
            <w:vAlign w:val="bottom"/>
            <w:tcBorders>
              <w:bottom w:val="single" w:sz="8" w:color="0000FF"/>
            </w:tcBorders>
            <w:gridSpan w:val="3"/>
          </w:tcPr>
          <w:p>
            <w:pPr>
              <w:ind w:left="20"/>
              <w:spacing w:after="0" w:line="153" w:lineRule="exact"/>
              <w:rPr>
                <w:sz w:val="20"/>
                <w:szCs w:val="20"/>
                <w:color w:val="auto"/>
              </w:rPr>
            </w:pPr>
            <w:r>
              <w:rPr>
                <w:rFonts w:ascii="Arial" w:cs="Arial" w:eastAsia="Arial" w:hAnsi="Arial"/>
                <w:sz w:val="14"/>
                <w:szCs w:val="14"/>
                <w:color w:val="0000FF"/>
                <w:w w:val="98"/>
              </w:rPr>
              <w:t>Business</w:t>
            </w:r>
          </w:p>
        </w:tc>
        <w:tc>
          <w:tcPr>
            <w:tcW w:w="9360" w:type="dxa"/>
            <w:vAlign w:val="bottom"/>
            <w:gridSpan w:val="14"/>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9960" w:type="dxa"/>
            <w:vAlign w:val="bottom"/>
            <w:gridSpan w:val="17"/>
          </w:tcPr>
          <w:p>
            <w:pPr>
              <w:ind w:left="20"/>
              <w:spacing w:after="0"/>
              <w:rPr>
                <w:sz w:val="20"/>
                <w:szCs w:val="20"/>
                <w:color w:val="auto"/>
              </w:rPr>
            </w:pPr>
            <w:r>
              <w:rPr>
                <w:rFonts w:ascii="Arial" w:cs="Arial" w:eastAsia="Arial" w:hAnsi="Arial"/>
                <w:sz w:val="14"/>
                <w:szCs w:val="14"/>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3.</w:t>
            </w:r>
          </w:p>
        </w:tc>
        <w:tc>
          <w:tcPr>
            <w:tcW w:w="54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w w:val="97"/>
              </w:rPr>
              <w:t>Liquidity</w:t>
            </w:r>
          </w:p>
        </w:tc>
        <w:tc>
          <w:tcPr>
            <w:tcW w:w="2200" w:type="dxa"/>
            <w:vAlign w:val="bottom"/>
            <w:tcBorders>
              <w:top w:val="single" w:sz="8" w:color="0000FF"/>
            </w:tcBorders>
            <w:gridSpan w:val="8"/>
          </w:tcPr>
          <w:p>
            <w:pPr>
              <w:spacing w:after="0"/>
              <w:rPr>
                <w:sz w:val="13"/>
                <w:szCs w:val="13"/>
                <w:color w:val="auto"/>
              </w:rPr>
            </w:pPr>
          </w:p>
        </w:tc>
        <w:tc>
          <w:tcPr>
            <w:tcW w:w="7220" w:type="dxa"/>
            <w:vAlign w:val="bottom"/>
            <w:gridSpan w:val="7"/>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4.</w:t>
            </w:r>
          </w:p>
        </w:tc>
        <w:tc>
          <w:tcPr>
            <w:tcW w:w="1800" w:type="dxa"/>
            <w:vAlign w:val="bottom"/>
            <w:tcBorders>
              <w:bottom w:val="single" w:sz="8" w:color="0000FF"/>
            </w:tcBorders>
            <w:gridSpan w:val="8"/>
          </w:tcPr>
          <w:p>
            <w:pPr>
              <w:ind w:left="20"/>
              <w:spacing w:after="0"/>
              <w:rPr>
                <w:sz w:val="20"/>
                <w:szCs w:val="20"/>
                <w:color w:val="auto"/>
              </w:rPr>
            </w:pPr>
            <w:r>
              <w:rPr>
                <w:rFonts w:ascii="Arial" w:cs="Arial" w:eastAsia="Arial" w:hAnsi="Arial"/>
                <w:sz w:val="14"/>
                <w:szCs w:val="14"/>
                <w:color w:val="0000FF"/>
              </w:rPr>
              <w:t>Leases - Lessee Accounting</w:t>
            </w:r>
          </w:p>
        </w:tc>
        <w:tc>
          <w:tcPr>
            <w:tcW w:w="8160" w:type="dxa"/>
            <w:vAlign w:val="bottom"/>
            <w:gridSpan w:val="9"/>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5.</w:t>
            </w:r>
          </w:p>
        </w:tc>
        <w:tc>
          <w:tcPr>
            <w:tcW w:w="132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rPr>
              <w:t>Rental Product, Net</w:t>
            </w:r>
          </w:p>
        </w:tc>
        <w:tc>
          <w:tcPr>
            <w:tcW w:w="8640" w:type="dxa"/>
            <w:vAlign w:val="bottom"/>
            <w:gridSpan w:val="11"/>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6.</w:t>
            </w:r>
          </w:p>
        </w:tc>
        <w:tc>
          <w:tcPr>
            <w:tcW w:w="104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w w:val="98"/>
              </w:rPr>
              <w:t>Long-Term Debt</w:t>
            </w:r>
          </w:p>
        </w:tc>
        <w:tc>
          <w:tcPr>
            <w:tcW w:w="8920" w:type="dxa"/>
            <w:vAlign w:val="bottom"/>
            <w:gridSpan w:val="12"/>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7.</w:t>
            </w:r>
          </w:p>
        </w:tc>
        <w:tc>
          <w:tcPr>
            <w:tcW w:w="900" w:type="dxa"/>
            <w:vAlign w:val="bottom"/>
            <w:tcBorders>
              <w:bottom w:val="single" w:sz="8" w:color="0000FF"/>
            </w:tcBorders>
            <w:gridSpan w:val="4"/>
          </w:tcPr>
          <w:p>
            <w:pPr>
              <w:ind w:left="20"/>
              <w:spacing w:after="0"/>
              <w:rPr>
                <w:sz w:val="20"/>
                <w:szCs w:val="20"/>
                <w:color w:val="auto"/>
              </w:rPr>
            </w:pPr>
            <w:r>
              <w:rPr>
                <w:rFonts w:ascii="Arial" w:cs="Arial" w:eastAsia="Arial" w:hAnsi="Arial"/>
                <w:sz w:val="14"/>
                <w:szCs w:val="14"/>
                <w:color w:val="0000FF"/>
                <w:w w:val="97"/>
              </w:rPr>
              <w:t>Income Taxes</w:t>
            </w:r>
          </w:p>
        </w:tc>
        <w:tc>
          <w:tcPr>
            <w:tcW w:w="9060" w:type="dxa"/>
            <w:vAlign w:val="bottom"/>
            <w:gridSpan w:val="13"/>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8.</w:t>
            </w:r>
          </w:p>
        </w:tc>
        <w:tc>
          <w:tcPr>
            <w:tcW w:w="300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Accrued Expenses and Other Current Liabilities</w:t>
            </w:r>
          </w:p>
        </w:tc>
        <w:tc>
          <w:tcPr>
            <w:tcW w:w="6960" w:type="dxa"/>
            <w:vAlign w:val="bottom"/>
            <w:gridSpan w:val="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9.</w:t>
            </w:r>
          </w:p>
        </w:tc>
        <w:tc>
          <w:tcPr>
            <w:tcW w:w="9960" w:type="dxa"/>
            <w:vAlign w:val="bottom"/>
            <w:gridSpan w:val="17"/>
          </w:tcPr>
          <w:p>
            <w:pPr>
              <w:ind w:left="20"/>
              <w:spacing w:after="0"/>
              <w:rPr>
                <w:sz w:val="20"/>
                <w:szCs w:val="20"/>
                <w:color w:val="auto"/>
              </w:rPr>
            </w:pPr>
            <w:r>
              <w:rPr>
                <w:rFonts w:ascii="Arial" w:cs="Arial" w:eastAsia="Arial" w:hAnsi="Arial"/>
                <w:sz w:val="14"/>
                <w:szCs w:val="14"/>
                <w:color w:val="0000FF"/>
              </w:rPr>
              <w:t>Fair Value Measurements</w:t>
            </w: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10.</w:t>
            </w:r>
          </w:p>
        </w:tc>
        <w:tc>
          <w:tcPr>
            <w:tcW w:w="1540" w:type="dxa"/>
            <w:vAlign w:val="bottom"/>
            <w:tcBorders>
              <w:top w:val="single" w:sz="8" w:color="0000FF"/>
            </w:tcBorders>
            <w:gridSpan w:val="6"/>
          </w:tcPr>
          <w:p>
            <w:pPr>
              <w:ind w:left="20"/>
              <w:spacing w:after="0"/>
              <w:rPr>
                <w:sz w:val="20"/>
                <w:szCs w:val="20"/>
                <w:color w:val="auto"/>
              </w:rPr>
            </w:pPr>
            <w:r>
              <w:rPr>
                <w:rFonts w:ascii="Arial" w:cs="Arial" w:eastAsia="Arial" w:hAnsi="Arial"/>
                <w:sz w:val="14"/>
                <w:szCs w:val="14"/>
                <w:color w:val="0000FF"/>
              </w:rPr>
              <w:t>Stockholders’ Equity</w:t>
            </w:r>
          </w:p>
        </w:tc>
        <w:tc>
          <w:tcPr>
            <w:tcW w:w="8340" w:type="dxa"/>
            <w:vAlign w:val="bottom"/>
            <w:gridSpan w:val="10"/>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right w:val="single" w:sz="8" w:color="0000FF"/>
            </w:tcBorders>
            <w:gridSpan w:val="7"/>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2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00" w:type="dxa"/>
            <w:vAlign w:val="bottom"/>
            <w:gridSpan w:val="18"/>
          </w:tcPr>
          <w:p>
            <w:pPr>
              <w:spacing w:after="0"/>
              <w:rPr>
                <w:sz w:val="20"/>
                <w:szCs w:val="20"/>
                <w:color w:val="auto"/>
              </w:rPr>
            </w:pPr>
            <w:r>
              <w:rPr>
                <w:rFonts w:ascii="Arial" w:cs="Arial" w:eastAsia="Arial" w:hAnsi="Arial"/>
                <w:sz w:val="14"/>
                <w:szCs w:val="14"/>
                <w:color w:val="0000FF"/>
              </w:rPr>
              <w:t>11. Share-based Compensation Plans</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2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12.</w:t>
            </w:r>
          </w:p>
        </w:tc>
        <w:tc>
          <w:tcPr>
            <w:tcW w:w="362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Net Loss per Share Attributable to Common Stockholders</w:t>
            </w:r>
          </w:p>
        </w:tc>
        <w:tc>
          <w:tcPr>
            <w:tcW w:w="6260" w:type="dxa"/>
            <w:vAlign w:val="bottom"/>
            <w:gridSpan w:val="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13.</w:t>
            </w:r>
          </w:p>
        </w:tc>
        <w:tc>
          <w:tcPr>
            <w:tcW w:w="1720" w:type="dxa"/>
            <w:vAlign w:val="bottom"/>
            <w:tcBorders>
              <w:bottom w:val="single" w:sz="8" w:color="0000FF"/>
            </w:tcBorders>
            <w:gridSpan w:val="7"/>
          </w:tcPr>
          <w:p>
            <w:pPr>
              <w:ind w:left="20"/>
              <w:spacing w:after="0"/>
              <w:rPr>
                <w:sz w:val="20"/>
                <w:szCs w:val="20"/>
                <w:color w:val="auto"/>
              </w:rPr>
            </w:pPr>
            <w:r>
              <w:rPr>
                <w:rFonts w:ascii="Arial" w:cs="Arial" w:eastAsia="Arial" w:hAnsi="Arial"/>
                <w:sz w:val="14"/>
                <w:szCs w:val="14"/>
                <w:color w:val="0000FF"/>
                <w:w w:val="99"/>
              </w:rPr>
              <w:t>Related Party Transactions</w:t>
            </w:r>
          </w:p>
        </w:tc>
        <w:tc>
          <w:tcPr>
            <w:tcW w:w="8160" w:type="dxa"/>
            <w:vAlign w:val="bottom"/>
            <w:gridSpan w:val="9"/>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14.</w:t>
            </w:r>
          </w:p>
        </w:tc>
        <w:tc>
          <w:tcPr>
            <w:tcW w:w="9880" w:type="dxa"/>
            <w:vAlign w:val="bottom"/>
            <w:gridSpan w:val="16"/>
          </w:tcPr>
          <w:p>
            <w:pPr>
              <w:ind w:left="20"/>
              <w:spacing w:after="0"/>
              <w:rPr>
                <w:sz w:val="20"/>
                <w:szCs w:val="20"/>
                <w:color w:val="auto"/>
              </w:rPr>
            </w:pPr>
            <w:r>
              <w:rPr>
                <w:rFonts w:ascii="Arial" w:cs="Arial" w:eastAsia="Arial" w:hAnsi="Arial"/>
                <w:sz w:val="14"/>
                <w:szCs w:val="14"/>
                <w:color w:val="0000FF"/>
              </w:rPr>
              <w:t>Commitments and Contingencies</w:t>
            </w: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15.</w:t>
            </w:r>
          </w:p>
        </w:tc>
        <w:tc>
          <w:tcPr>
            <w:tcW w:w="2160" w:type="dxa"/>
            <w:vAlign w:val="bottom"/>
            <w:tcBorders>
              <w:top w:val="single" w:sz="8" w:color="0000FF"/>
            </w:tcBorders>
            <w:gridSpan w:val="8"/>
          </w:tcPr>
          <w:p>
            <w:pPr>
              <w:ind w:left="20"/>
              <w:spacing w:after="0"/>
              <w:rPr>
                <w:sz w:val="20"/>
                <w:szCs w:val="20"/>
                <w:color w:val="auto"/>
              </w:rPr>
            </w:pPr>
            <w:r>
              <w:rPr>
                <w:rFonts w:ascii="Arial" w:cs="Arial" w:eastAsia="Arial" w:hAnsi="Arial"/>
                <w:sz w:val="14"/>
                <w:szCs w:val="14"/>
                <w:color w:val="0000FF"/>
              </w:rPr>
              <w:t>Subsequent Events</w:t>
            </w:r>
          </w:p>
        </w:tc>
        <w:tc>
          <w:tcPr>
            <w:tcW w:w="7720" w:type="dxa"/>
            <w:vAlign w:val="bottom"/>
            <w:gridSpan w:val="8"/>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60" w:type="dxa"/>
            <w:vAlign w:val="bottom"/>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April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3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2026</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2026</w:t>
            </w:r>
          </w:p>
        </w:tc>
        <w:tc>
          <w:tcPr>
            <w:tcW w:w="0" w:type="dxa"/>
            <w:vAlign w:val="bottom"/>
          </w:tcPr>
          <w:p>
            <w:pPr>
              <w:spacing w:after="0"/>
              <w:rPr>
                <w:sz w:val="1"/>
                <w:szCs w:val="1"/>
                <w:color w:val="auto"/>
              </w:rPr>
            </w:pPr>
          </w:p>
        </w:tc>
      </w:tr>
      <w:tr>
        <w:trPr>
          <w:trHeight w:val="16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Restricted cash, current</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76"/>
        </w:trPr>
        <w:tc>
          <w:tcPr>
            <w:tcW w:w="836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54.7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66.7</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Rental product, net</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91.6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86.0</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assets, net</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assets</w:t>
            </w:r>
          </w:p>
        </w:tc>
        <w:tc>
          <w:tcPr>
            <w:tcW w:w="100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212.7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 (Deficit)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36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1000" w:type="dxa"/>
            <w:vAlign w:val="bottom"/>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13.4</w:t>
            </w:r>
          </w:p>
        </w:tc>
        <w:tc>
          <w:tcPr>
            <w:tcW w:w="8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14.5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Customer credit and gift card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Operating lease liabilities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w:t>
            </w: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Long-term debt, net</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157.1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156.6</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266.0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257.1</w:t>
            </w:r>
          </w:p>
        </w:tc>
        <w:tc>
          <w:tcPr>
            <w:tcW w:w="0" w:type="dxa"/>
            <w:vAlign w:val="bottom"/>
          </w:tcPr>
          <w:p>
            <w:pPr>
              <w:spacing w:after="0"/>
              <w:rPr>
                <w:sz w:val="1"/>
                <w:szCs w:val="1"/>
                <w:color w:val="auto"/>
              </w:rPr>
            </w:pPr>
          </w:p>
        </w:tc>
      </w:tr>
      <w:tr>
        <w:trPr>
          <w:trHeight w:val="152"/>
        </w:trPr>
        <w:tc>
          <w:tcPr>
            <w:tcW w:w="8360" w:type="dxa"/>
            <w:vAlign w:val="bottom"/>
          </w:tcPr>
          <w:p>
            <w:pPr>
              <w:ind w:left="20"/>
              <w:spacing w:after="0"/>
              <w:rPr>
                <w:sz w:val="20"/>
                <w:szCs w:val="20"/>
                <w:color w:val="auto"/>
              </w:rPr>
            </w:pPr>
            <w:r>
              <w:rPr>
                <w:rFonts w:ascii="Arial" w:cs="Arial" w:eastAsia="Arial" w:hAnsi="Arial"/>
                <w:sz w:val="11"/>
                <w:szCs w:val="11"/>
                <w:color w:val="auto"/>
              </w:rPr>
              <w:t>Commitments and Contingencies (Note 14)</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360" w:type="dxa"/>
            <w:vAlign w:val="bottom"/>
          </w:tcPr>
          <w:p>
            <w:pPr>
              <w:ind w:left="280"/>
              <w:spacing w:after="0" w:line="121" w:lineRule="exact"/>
              <w:rPr>
                <w:sz w:val="20"/>
                <w:szCs w:val="20"/>
                <w:color w:val="auto"/>
              </w:rPr>
            </w:pPr>
            <w:r>
              <w:rPr>
                <w:rFonts w:ascii="Arial" w:cs="Arial" w:eastAsia="Arial" w:hAnsi="Arial"/>
                <w:sz w:val="11"/>
                <w:szCs w:val="11"/>
                <w:color w:val="auto"/>
              </w:rPr>
              <w:t>Class A common stock, $0.001 par value; 300,000,000 shares authorized as of April 30, 2026 and January 31, 2026; 33,464,771 and 33,390,904 shares issued</w:t>
            </w:r>
          </w:p>
        </w:tc>
        <w:tc>
          <w:tcPr>
            <w:tcW w:w="1000" w:type="dxa"/>
            <w:vAlign w:val="bottom"/>
          </w:tcPr>
          <w:p>
            <w:pPr>
              <w:spacing w:after="0"/>
              <w:rPr>
                <w:sz w:val="10"/>
                <w:szCs w:val="10"/>
                <w:color w:val="auto"/>
              </w:rPr>
            </w:pPr>
          </w:p>
        </w:tc>
        <w:tc>
          <w:tcPr>
            <w:tcW w:w="50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1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8360" w:type="dxa"/>
            <w:vAlign w:val="bottom"/>
          </w:tcPr>
          <w:p>
            <w:pPr>
              <w:ind w:left="400"/>
              <w:spacing w:after="0"/>
              <w:rPr>
                <w:sz w:val="20"/>
                <w:szCs w:val="20"/>
                <w:color w:val="auto"/>
              </w:rPr>
            </w:pPr>
            <w:r>
              <w:rPr>
                <w:rFonts w:ascii="Arial" w:cs="Arial" w:eastAsia="Arial" w:hAnsi="Arial"/>
                <w:sz w:val="11"/>
                <w:szCs w:val="11"/>
                <w:color w:val="auto"/>
              </w:rPr>
              <w:t>and outstanding as of April 30, 2026 and January 31, 2026, respectively</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68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1" w:lineRule="exact"/>
        <w:rPr>
          <w:sz w:val="20"/>
          <w:szCs w:val="20"/>
          <w:color w:val="auto"/>
        </w:rPr>
      </w:pPr>
    </w:p>
    <w:p>
      <w:pPr>
        <w:ind w:left="400" w:right="620" w:hanging="126"/>
        <w:spacing w:after="0" w:line="242" w:lineRule="auto"/>
        <w:rPr>
          <w:sz w:val="20"/>
          <w:szCs w:val="20"/>
          <w:color w:val="auto"/>
        </w:rPr>
      </w:pPr>
      <w:r>
        <w:rPr>
          <w:rFonts w:ascii="Arial" w:cs="Arial" w:eastAsia="Arial" w:hAnsi="Arial"/>
          <w:sz w:val="11"/>
          <w:szCs w:val="11"/>
          <w:color w:val="auto"/>
        </w:rPr>
        <w:t>Class B common stock, $0.001 par value; 50,000,000 shares authorized as of April 30, 2026 and January 31, 2026; 0 shares issued and outstanding as of April 30, 2026 and January 31, 2026</w:t>
      </w:r>
    </w:p>
    <w:p>
      <w:pPr>
        <w:spacing w:after="0" w:line="10" w:lineRule="exact"/>
        <w:rPr>
          <w:sz w:val="20"/>
          <w:szCs w:val="20"/>
          <w:color w:val="auto"/>
        </w:rPr>
      </w:pPr>
    </w:p>
    <w:p>
      <w:pPr>
        <w:ind w:left="400" w:right="260" w:hanging="126"/>
        <w:spacing w:after="0" w:line="242" w:lineRule="auto"/>
        <w:rPr>
          <w:sz w:val="20"/>
          <w:szCs w:val="20"/>
          <w:color w:val="auto"/>
        </w:rPr>
      </w:pPr>
      <w:r>
        <w:rPr>
          <w:rFonts w:ascii="Arial" w:cs="Arial" w:eastAsia="Arial" w:hAnsi="Arial"/>
          <w:sz w:val="11"/>
          <w:szCs w:val="11"/>
          <w:color w:val="auto"/>
        </w:rPr>
        <w:t>Preferred stock, $0.001 par value; 10,000,000 shares authorized as of April 30, 2026 and January 31, 2026; 0 shares issued and outstanding as of April 30, 2026 and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Additional paid-in capital</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Accumulated deficit</w:t>
      </w:r>
    </w:p>
    <w:p>
      <w:pPr>
        <w:spacing w:after="0" w:line="20" w:lineRule="exact"/>
        <w:rPr>
          <w:sz w:val="20"/>
          <w:szCs w:val="20"/>
          <w:color w:val="auto"/>
        </w:rPr>
      </w:pPr>
      <w:r>
        <w:rPr>
          <w:sz w:val="20"/>
          <w:szCs w:val="20"/>
          <w:color w:val="auto"/>
        </w:rPr>
        <w:br w:type="column"/>
      </w:r>
    </w:p>
    <w:p>
      <w:pPr>
        <w:ind w:left="300"/>
        <w:spacing w:after="0"/>
        <w:tabs>
          <w:tab w:leader="none" w:pos="178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p>
    <w:p>
      <w:pPr>
        <w:spacing w:after="0" w:line="209" w:lineRule="exact"/>
        <w:rPr>
          <w:sz w:val="20"/>
          <w:szCs w:val="20"/>
          <w:color w:val="auto"/>
        </w:rPr>
      </w:pPr>
    </w:p>
    <w:p>
      <w:pPr>
        <w:ind w:left="280"/>
        <w:spacing w:after="0"/>
        <w:tabs>
          <w:tab w:leader="none" w:pos="17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46"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1"/>
          <w:szCs w:val="11"/>
          <w:color w:val="auto"/>
        </w:rPr>
        <w:t>1,066.0</w:t>
      </w:r>
      <w:r>
        <w:rPr>
          <w:sz w:val="20"/>
          <w:szCs w:val="20"/>
          <w:color w:val="auto"/>
        </w:rPr>
        <w:tab/>
      </w:r>
      <w:r>
        <w:rPr>
          <w:rFonts w:ascii="Arial" w:cs="Arial" w:eastAsia="Arial" w:hAnsi="Arial"/>
          <w:sz w:val="11"/>
          <w:szCs w:val="11"/>
          <w:color w:val="auto"/>
        </w:rPr>
        <w:t>1,064.3</w:t>
      </w:r>
    </w:p>
    <w:p>
      <w:pPr>
        <w:spacing w:after="0" w:line="54"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color w:val="auto"/>
        </w:rPr>
        <w:t>(1,119.3)</w:t>
      </w:r>
      <w:r>
        <w:rPr>
          <w:sz w:val="20"/>
          <w:szCs w:val="20"/>
          <w:color w:val="auto"/>
        </w:rPr>
        <w:tab/>
      </w:r>
      <w:r>
        <w:rPr>
          <w:rFonts w:ascii="Arial" w:cs="Arial" w:eastAsia="Arial" w:hAnsi="Arial"/>
          <w:sz w:val="11"/>
          <w:szCs w:val="11"/>
          <w:color w:val="auto"/>
        </w:rPr>
        <w:t>(1,100.4)</w:t>
      </w:r>
    </w:p>
    <w:p>
      <w:pPr>
        <w:spacing w:after="0" w:line="32" w:lineRule="exact"/>
        <w:rPr>
          <w:sz w:val="20"/>
          <w:szCs w:val="20"/>
          <w:color w:val="auto"/>
        </w:rPr>
      </w:pPr>
    </w:p>
    <w:p>
      <w:pPr>
        <w:sectPr>
          <w:pgSz w:w="11900" w:h="16838" w:orient="portrait"/>
          <w:cols w:equalWidth="0" w:num="2">
            <w:col w:w="8600" w:space="720"/>
            <w:col w:w="196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equity (deficit)</w:t>
            </w: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(53.3)</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(36.1)</w:t>
            </w:r>
          </w:p>
        </w:tc>
      </w:tr>
      <w:tr>
        <w:trPr>
          <w:trHeight w:val="180"/>
        </w:trPr>
        <w:tc>
          <w:tcPr>
            <w:tcW w:w="836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 (deficit)</w:t>
            </w:r>
          </w:p>
        </w:tc>
        <w:tc>
          <w:tcPr>
            <w:tcW w:w="5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212.7</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221.0</w:t>
            </w:r>
          </w:p>
        </w:tc>
      </w:tr>
      <w:tr>
        <w:trPr>
          <w:trHeight w:val="20"/>
        </w:trPr>
        <w:tc>
          <w:tcPr>
            <w:tcW w:w="8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06" w:lineRule="exact"/>
        <w:rPr>
          <w:sz w:val="20"/>
          <w:szCs w:val="20"/>
          <w:color w:val="auto"/>
        </w:rPr>
      </w:pPr>
    </w:p>
    <w:p>
      <w:pPr>
        <w:jc w:val="center"/>
        <w:ind w:left="8120"/>
        <w:spacing w:after="0"/>
        <w:rPr>
          <w:sz w:val="20"/>
          <w:szCs w:val="20"/>
          <w:color w:val="auto"/>
        </w:rPr>
      </w:pPr>
      <w:r>
        <w:rPr>
          <w:rFonts w:ascii="Arial" w:cs="Arial" w:eastAsia="Arial" w:hAnsi="Arial"/>
          <w:sz w:val="11"/>
          <w:szCs w:val="11"/>
          <w:b w:val="1"/>
          <w:bCs w:val="1"/>
          <w:color w:val="auto"/>
        </w:rPr>
        <w:t>Three Months Ended</w:t>
      </w:r>
    </w:p>
    <w:p>
      <w:pPr>
        <w:jc w:val="center"/>
        <w:ind w:left="8120"/>
        <w:spacing w:after="0"/>
        <w:rPr>
          <w:sz w:val="20"/>
          <w:szCs w:val="20"/>
          <w:color w:val="auto"/>
        </w:rPr>
      </w:pPr>
      <w:r>
        <w:rPr>
          <w:rFonts w:ascii="Arial" w:cs="Arial" w:eastAsia="Arial" w:hAnsi="Arial"/>
          <w:sz w:val="11"/>
          <w:szCs w:val="11"/>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5238115</wp:posOffset>
            </wp:positionH>
            <wp:positionV relativeFrom="paragraph">
              <wp:posOffset>11430</wp:posOffset>
            </wp:positionV>
            <wp:extent cx="185928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928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2025</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0"/>
        </w:trPr>
        <w:tc>
          <w:tcPr>
            <w:tcW w:w="8240" w:type="dxa"/>
            <w:vAlign w:val="bottom"/>
          </w:tcPr>
          <w:p>
            <w:pPr>
              <w:ind w:left="280"/>
              <w:spacing w:after="0"/>
              <w:rPr>
                <w:sz w:val="20"/>
                <w:szCs w:val="20"/>
                <w:color w:val="auto"/>
              </w:rPr>
            </w:pPr>
            <w:r>
              <w:rPr>
                <w:rFonts w:ascii="Arial" w:cs="Arial" w:eastAsia="Arial" w:hAnsi="Arial"/>
                <w:sz w:val="13"/>
                <w:szCs w:val="13"/>
                <w:color w:val="auto"/>
              </w:rPr>
              <w:t>Subscription and Reserve rental revenue</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77.7</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62.0</w:t>
            </w:r>
          </w:p>
        </w:tc>
      </w:tr>
      <w:tr>
        <w:trPr>
          <w:trHeight w:val="192"/>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revenue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70"/>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revenue, net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69.6</w:t>
            </w: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4"/>
        </w:trPr>
        <w:tc>
          <w:tcPr>
            <w:tcW w:w="8240" w:type="dxa"/>
            <w:vAlign w:val="bottom"/>
          </w:tcPr>
          <w:p>
            <w:pPr>
              <w:ind w:left="280"/>
              <w:spacing w:after="0"/>
              <w:rPr>
                <w:sz w:val="20"/>
                <w:szCs w:val="20"/>
                <w:color w:val="auto"/>
              </w:rPr>
            </w:pPr>
            <w:r>
              <w:rPr>
                <w:rFonts w:ascii="Arial" w:cs="Arial" w:eastAsia="Arial" w:hAnsi="Arial"/>
                <w:sz w:val="13"/>
                <w:szCs w:val="13"/>
                <w:color w:val="auto"/>
              </w:rPr>
              <w:t>Fulfillment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20.4</w:t>
            </w:r>
          </w:p>
        </w:tc>
      </w:tr>
      <w:tr>
        <w:trPr>
          <w:trHeight w:val="19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Technology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84"/>
        </w:trPr>
        <w:tc>
          <w:tcPr>
            <w:tcW w:w="8240" w:type="dxa"/>
            <w:vAlign w:val="bottom"/>
          </w:tcPr>
          <w:p>
            <w:pPr>
              <w:ind w:left="280"/>
              <w:spacing w:after="0"/>
              <w:rPr>
                <w:sz w:val="20"/>
                <w:szCs w:val="20"/>
                <w:color w:val="auto"/>
              </w:rPr>
            </w:pPr>
            <w:r>
              <w:rPr>
                <w:rFonts w:ascii="Arial" w:cs="Arial" w:eastAsia="Arial" w:hAnsi="Arial"/>
                <w:sz w:val="13"/>
                <w:szCs w:val="13"/>
                <w:color w:val="auto"/>
              </w:rPr>
              <w:t>Marketing</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9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r>
      <w:tr>
        <w:trPr>
          <w:trHeight w:val="184"/>
        </w:trPr>
        <w:tc>
          <w:tcPr>
            <w:tcW w:w="8240" w:type="dxa"/>
            <w:vAlign w:val="bottom"/>
          </w:tcPr>
          <w:p>
            <w:pPr>
              <w:ind w:left="280"/>
              <w:spacing w:after="0"/>
              <w:rPr>
                <w:sz w:val="20"/>
                <w:szCs w:val="20"/>
                <w:color w:val="auto"/>
              </w:rPr>
            </w:pPr>
            <w:r>
              <w:rPr>
                <w:rFonts w:ascii="Arial" w:cs="Arial" w:eastAsia="Arial" w:hAnsi="Arial"/>
                <w:sz w:val="13"/>
                <w:szCs w:val="13"/>
                <w:color w:val="auto"/>
              </w:rPr>
              <w:t>Rental product depreciation and revenue share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27.3</w:t>
            </w:r>
          </w:p>
        </w:tc>
      </w:tr>
      <w:tr>
        <w:trPr>
          <w:trHeight w:val="19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depreciation and amortization</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70"/>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costs and expenses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w:t>
            </w:r>
          </w:p>
        </w:tc>
      </w:tr>
      <w:tr>
        <w:trPr>
          <w:trHeight w:val="172"/>
        </w:trPr>
        <w:tc>
          <w:tcPr>
            <w:tcW w:w="82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Operating loss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r>
      <w:tr>
        <w:trPr>
          <w:trHeight w:val="184"/>
        </w:trPr>
        <w:tc>
          <w:tcPr>
            <w:tcW w:w="8240" w:type="dxa"/>
            <w:vAlign w:val="bottom"/>
          </w:tcPr>
          <w:p>
            <w:pPr>
              <w:ind w:left="20"/>
              <w:spacing w:after="0"/>
              <w:rPr>
                <w:sz w:val="20"/>
                <w:szCs w:val="20"/>
                <w:color w:val="auto"/>
              </w:rPr>
            </w:pPr>
            <w:r>
              <w:rPr>
                <w:rFonts w:ascii="Arial" w:cs="Arial" w:eastAsia="Arial" w:hAnsi="Arial"/>
                <w:sz w:val="13"/>
                <w:szCs w:val="13"/>
                <w:color w:val="auto"/>
              </w:rPr>
              <w:t>Interest income / (expense),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98"/>
        </w:trPr>
        <w:tc>
          <w:tcPr>
            <w:tcW w:w="8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income / (expense), net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70"/>
        </w:trPr>
        <w:tc>
          <w:tcPr>
            <w:tcW w:w="8240" w:type="dxa"/>
            <w:vAlign w:val="bottom"/>
          </w:tcPr>
          <w:p>
            <w:pPr>
              <w:ind w:left="700"/>
              <w:spacing w:after="0"/>
              <w:rPr>
                <w:sz w:val="20"/>
                <w:szCs w:val="20"/>
                <w:color w:val="auto"/>
              </w:rPr>
            </w:pPr>
            <w:r>
              <w:rPr>
                <w:rFonts w:ascii="Arial" w:cs="Arial" w:eastAsia="Arial" w:hAnsi="Arial"/>
                <w:sz w:val="13"/>
                <w:szCs w:val="13"/>
                <w:color w:val="auto"/>
              </w:rPr>
              <w:t>Net loss before income tax benefit / (expense)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(25.9)</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 (expense)</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67"/>
        </w:trPr>
        <w:tc>
          <w:tcPr>
            <w:tcW w:w="8240" w:type="dxa"/>
            <w:vAlign w:val="bottom"/>
          </w:tcPr>
          <w:p>
            <w:pPr>
              <w:ind w:left="780"/>
              <w:spacing w:after="0"/>
              <w:rPr>
                <w:sz w:val="20"/>
                <w:szCs w:val="20"/>
                <w:color w:val="auto"/>
              </w:rPr>
            </w:pPr>
            <w:r>
              <w:rPr>
                <w:rFonts w:ascii="Arial" w:cs="Arial" w:eastAsia="Arial" w:hAnsi="Arial"/>
                <w:sz w:val="13"/>
                <w:szCs w:val="13"/>
                <w:color w:val="auto"/>
              </w:rPr>
              <w:t>Net loss</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40" w:type="dxa"/>
            <w:vAlign w:val="bottom"/>
          </w:tcPr>
          <w:p>
            <w:pPr>
              <w:ind w:left="20"/>
              <w:spacing w:after="0"/>
              <w:rPr>
                <w:sz w:val="20"/>
                <w:szCs w:val="20"/>
                <w:color w:val="auto"/>
              </w:rPr>
            </w:pPr>
            <w:r>
              <w:rPr>
                <w:rFonts w:ascii="Arial" w:cs="Arial" w:eastAsia="Arial" w:hAnsi="Arial"/>
                <w:sz w:val="13"/>
                <w:szCs w:val="13"/>
                <w:color w:val="auto"/>
              </w:rPr>
              <w:t>Weighted-average shares used in computing net loss per share attributable to common stockholders, basic and diluted</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33,423,930</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4,168,053</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580" w:type="dxa"/>
            <w:vAlign w:val="bottom"/>
          </w:tcPr>
          <w:p>
            <w:pPr>
              <w:spacing w:after="0"/>
              <w:rPr>
                <w:sz w:val="7"/>
                <w:szCs w:val="7"/>
                <w:color w:val="auto"/>
              </w:rPr>
            </w:pPr>
          </w:p>
        </w:tc>
        <w:tc>
          <w:tcPr>
            <w:tcW w:w="2000" w:type="dxa"/>
            <w:vAlign w:val="bottom"/>
            <w:gridSpan w:val="3"/>
          </w:tcPr>
          <w:p>
            <w:pPr>
              <w:jc w:val="right"/>
              <w:ind w:right="512"/>
              <w:spacing w:after="0"/>
              <w:rPr>
                <w:sz w:val="20"/>
                <w:szCs w:val="20"/>
                <w:color w:val="auto"/>
              </w:rPr>
            </w:pPr>
            <w:r>
              <w:rPr>
                <w:rFonts w:ascii="Arial" w:cs="Arial" w:eastAsia="Arial" w:hAnsi="Arial"/>
                <w:sz w:val="8"/>
                <w:szCs w:val="8"/>
                <w:b w:val="1"/>
                <w:bCs w:val="1"/>
                <w:color w:val="auto"/>
              </w:rPr>
              <w:t>Common Stock</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42"/>
        </w:trPr>
        <w:tc>
          <w:tcPr>
            <w:tcW w:w="55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vMerge w:val="restart"/>
          </w:tcPr>
          <w:p>
            <w:pPr>
              <w:jc w:val="center"/>
              <w:ind w:right="280"/>
              <w:spacing w:after="0" w:line="85" w:lineRule="exact"/>
              <w:rPr>
                <w:sz w:val="20"/>
                <w:szCs w:val="20"/>
                <w:color w:val="auto"/>
              </w:rPr>
            </w:pPr>
            <w:r>
              <w:rPr>
                <w:rFonts w:ascii="Arial" w:cs="Arial" w:eastAsia="Arial" w:hAnsi="Arial"/>
                <w:sz w:val="8"/>
                <w:szCs w:val="8"/>
                <w:b w:val="1"/>
                <w:bCs w:val="1"/>
                <w:color w:val="auto"/>
              </w:rPr>
              <w:t>Paid-in</w:t>
            </w:r>
          </w:p>
        </w:tc>
        <w:tc>
          <w:tcPr>
            <w:tcW w:w="140" w:type="dxa"/>
            <w:vAlign w:val="bottom"/>
          </w:tcPr>
          <w:p>
            <w:pPr>
              <w:spacing w:after="0"/>
              <w:rPr>
                <w:sz w:val="3"/>
                <w:szCs w:val="3"/>
                <w:color w:val="auto"/>
              </w:rPr>
            </w:pPr>
          </w:p>
        </w:tc>
        <w:tc>
          <w:tcPr>
            <w:tcW w:w="960" w:type="dxa"/>
            <w:vAlign w:val="bottom"/>
            <w:gridSpan w:val="2"/>
            <w:vMerge w:val="restart"/>
          </w:tcPr>
          <w:p>
            <w:pPr>
              <w:ind w:left="100"/>
              <w:spacing w:after="0" w:line="8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3"/>
                <w:szCs w:val="3"/>
                <w:color w:val="auto"/>
              </w:rPr>
            </w:pPr>
          </w:p>
        </w:tc>
        <w:tc>
          <w:tcPr>
            <w:tcW w:w="980" w:type="dxa"/>
            <w:vAlign w:val="bottom"/>
            <w:vMerge w:val="restart"/>
          </w:tcPr>
          <w:p>
            <w:pPr>
              <w:jc w:val="center"/>
              <w:ind w:right="112"/>
              <w:spacing w:after="0" w:line="8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5580" w:type="dxa"/>
            <w:vAlign w:val="bottom"/>
          </w:tcPr>
          <w:p>
            <w:pPr>
              <w:spacing w:after="0" w:line="20" w:lineRule="exact"/>
              <w:rPr>
                <w:sz w:val="1"/>
                <w:szCs w:val="1"/>
                <w:color w:val="auto"/>
              </w:rPr>
            </w:pPr>
          </w:p>
        </w:tc>
        <w:tc>
          <w:tcPr>
            <w:tcW w:w="1180" w:type="dxa"/>
            <w:vAlign w:val="bottom"/>
            <w:gridSpan w:val="2"/>
            <w:vMerge w:val="restart"/>
          </w:tcPr>
          <w:p>
            <w:pPr>
              <w:ind w:left="400"/>
              <w:spacing w:after="0"/>
              <w:rPr>
                <w:sz w:val="20"/>
                <w:szCs w:val="20"/>
                <w:color w:val="auto"/>
              </w:rPr>
            </w:pPr>
            <w:r>
              <w:rPr>
                <w:rFonts w:ascii="Arial" w:cs="Arial" w:eastAsia="Arial" w:hAnsi="Arial"/>
                <w:sz w:val="8"/>
                <w:szCs w:val="8"/>
                <w:b w:val="1"/>
                <w:bCs w:val="1"/>
                <w:color w:val="auto"/>
              </w:rPr>
              <w:t>Shares</w:t>
            </w:r>
          </w:p>
        </w:tc>
        <w:tc>
          <w:tcPr>
            <w:tcW w:w="820" w:type="dxa"/>
            <w:vAlign w:val="bottom"/>
            <w:vMerge w:val="restart"/>
          </w:tcPr>
          <w:p>
            <w:pPr>
              <w:jc w:val="right"/>
              <w:ind w:right="72"/>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5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Capital</w:t>
            </w:r>
          </w:p>
        </w:tc>
        <w:tc>
          <w:tcPr>
            <w:tcW w:w="140" w:type="dxa"/>
            <w:vAlign w:val="bottom"/>
          </w:tcPr>
          <w:p>
            <w:pPr>
              <w:spacing w:after="0"/>
              <w:rPr>
                <w:sz w:val="10"/>
                <w:szCs w:val="10"/>
                <w:color w:val="auto"/>
              </w:rPr>
            </w:pPr>
          </w:p>
        </w:tc>
        <w:tc>
          <w:tcPr>
            <w:tcW w:w="960" w:type="dxa"/>
            <w:vAlign w:val="bottom"/>
            <w:gridSpan w:val="2"/>
          </w:tcPr>
          <w:p>
            <w:pPr>
              <w:ind w:left="240"/>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0"/>
                <w:szCs w:val="10"/>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rPr>
              <w:t>Equity (Deficit)</w:t>
            </w:r>
          </w:p>
        </w:tc>
        <w:tc>
          <w:tcPr>
            <w:tcW w:w="0" w:type="dxa"/>
            <w:vAlign w:val="bottom"/>
          </w:tcPr>
          <w:p>
            <w:pPr>
              <w:spacing w:after="0"/>
              <w:rPr>
                <w:sz w:val="1"/>
                <w:szCs w:val="1"/>
                <w:color w:val="auto"/>
              </w:rPr>
            </w:pPr>
          </w:p>
        </w:tc>
      </w:tr>
      <w:tr>
        <w:trPr>
          <w:trHeight w:val="13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2026</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33,390,904</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1,064.3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(1,100.4)</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(36.1)</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28,509</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Stock issued related to the ATM offering, net of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45,358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29"/>
        </w:trPr>
        <w:tc>
          <w:tcPr>
            <w:tcW w:w="5580" w:type="dxa"/>
            <w:vAlign w:val="bottom"/>
          </w:tcPr>
          <w:p>
            <w:pPr>
              <w:ind w:left="20"/>
              <w:spacing w:after="0"/>
              <w:rPr>
                <w:sz w:val="20"/>
                <w:szCs w:val="20"/>
                <w:color w:val="auto"/>
              </w:rPr>
            </w:pPr>
            <w:r>
              <w:rPr>
                <w:rFonts w:ascii="Arial" w:cs="Arial" w:eastAsia="Arial" w:hAnsi="Arial"/>
                <w:sz w:val="10"/>
                <w:szCs w:val="10"/>
                <w:color w:val="auto"/>
              </w:rPr>
              <w:t>Balances as of April 30, 2026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33,464,771</w:t>
            </w:r>
          </w:p>
        </w:tc>
        <w:tc>
          <w:tcPr>
            <w:tcW w:w="10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1,066.0</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(1,119.3)</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(53.3)</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5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3,916,932</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940.5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(1,123.0)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(182.5)</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64,563</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(26.1)</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April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3,981,495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(1,149.1)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(207.1)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02"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Three Months Ended</w:t>
      </w:r>
    </w:p>
    <w:p>
      <w:pPr>
        <w:jc w:val="center"/>
        <w:ind w:left="8320"/>
        <w:spacing w:after="0"/>
        <w:rPr>
          <w:sz w:val="20"/>
          <w:szCs w:val="20"/>
          <w:color w:val="auto"/>
        </w:rPr>
      </w:pPr>
      <w:r>
        <w:rPr>
          <w:rFonts w:ascii="Arial" w:cs="Arial" w:eastAsia="Arial" w:hAnsi="Arial"/>
          <w:sz w:val="13"/>
          <w:szCs w:val="13"/>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5080</wp:posOffset>
            </wp:positionV>
            <wp:extent cx="187325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2026</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2025</w:t>
            </w:r>
          </w:p>
        </w:tc>
      </w:tr>
      <w:tr>
        <w:trPr>
          <w:trHeight w:val="17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(26.1)</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Rental product depreciation and write-offs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Write-off of rental product sold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Other depreciation and amortization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rental product sold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(Gain) / loss from liquidation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Accrual of paid-in-kind interest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Amortization of debt (premium) discount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Share-based compensation expense</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Operating lease right-of-use assets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Accounts payable, accrued expenses and other current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13.4</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Deferred revenue and customer credit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Operating lease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liabilities</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70"/>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operating activities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Purchases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(19.3)</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liquidation of rental product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Proceeds from sale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fixed and intangible assets</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70"/>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investing activities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r>
      <w:tr>
        <w:trPr>
          <w:trHeight w:val="15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8340" w:type="dxa"/>
            <w:vAlign w:val="bottom"/>
          </w:tcPr>
          <w:p>
            <w:pPr>
              <w:ind w:left="20"/>
              <w:spacing w:after="0"/>
              <w:rPr>
                <w:sz w:val="20"/>
                <w:szCs w:val="20"/>
                <w:color w:val="auto"/>
              </w:rPr>
            </w:pPr>
            <w:r>
              <w:rPr>
                <w:rFonts w:ascii="Arial" w:cs="Arial" w:eastAsia="Arial" w:hAnsi="Arial"/>
                <w:sz w:val="13"/>
                <w:szCs w:val="13"/>
                <w:color w:val="auto"/>
              </w:rPr>
              <w:t>Proceeds from issuance of common stock</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financing payments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59"/>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financing activities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r>
      <w:tr>
        <w:trPr>
          <w:trHeight w:val="16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6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w:t>
            </w:r>
          </w:p>
        </w:tc>
      </w:tr>
      <w:tr>
        <w:trPr>
          <w:trHeight w:val="18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at end of period</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23"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Three Months Ended</w:t>
      </w:r>
    </w:p>
    <w:p>
      <w:pPr>
        <w:spacing w:after="0" w:line="11"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April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2026</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2025</w:t>
            </w:r>
          </w:p>
        </w:tc>
      </w:tr>
      <w:tr>
        <w:trPr>
          <w:trHeight w:val="17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payments (receipts) for:</w:t>
            </w: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Interest paid on loans</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Fixed operating lease payments, net</w:t>
            </w: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Fixed assets and intangibles received in the prior period</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Rental product received in the prior period</w:t>
            </w: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76"/>
        </w:trPr>
        <w:tc>
          <w:tcPr>
            <w:tcW w:w="8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financing and investing activities:</w:t>
            </w: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Purchases of fixed assets and intangibles not yet settled</w:t>
            </w: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rental product not yet settled</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04"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color w:val="auto"/>
        </w:rPr>
      </w:pPr>
    </w:p>
    <w:p>
      <w:pPr>
        <w:ind w:left="380" w:right="6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is located in Galway, Ireland, and is focused on software development and support activities.</w:t>
      </w:r>
    </w:p>
    <w:p>
      <w:pPr>
        <w:spacing w:after="0" w:line="54" w:lineRule="exact"/>
        <w:rPr>
          <w:rFonts w:ascii="Arial" w:cs="Arial" w:eastAsia="Arial" w:hAnsi="Arial"/>
          <w:sz w:val="14"/>
          <w:szCs w:val="14"/>
          <w:b w:val="1"/>
          <w:bCs w:val="1"/>
          <w:color w:val="auto"/>
        </w:rPr>
      </w:pPr>
    </w:p>
    <w:p>
      <w:pPr>
        <w:ind w:left="380" w:right="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20" w:lineRule="exact"/>
        <w:rPr>
          <w:rFonts w:ascii="Arial" w:cs="Arial" w:eastAsia="Arial" w:hAnsi="Arial"/>
          <w:sz w:val="14"/>
          <w:szCs w:val="14"/>
          <w:b w:val="1"/>
          <w:bCs w:val="1"/>
          <w:color w:val="auto"/>
        </w:rPr>
      </w:pPr>
    </w:p>
    <w:p>
      <w:pPr>
        <w:ind w:left="380" w:right="7920" w:hanging="375"/>
        <w:spacing w:after="0" w:line="379" w:lineRule="auto"/>
        <w:tabs>
          <w:tab w:leader="none" w:pos="371"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right="2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accounting principles generally accepted in the United States of America (“U.S. GAAP”). The Company adjusted the weighted-average shares used in computing net loss per share for all periods presented in the Condensed Consolidated Statements of Operations to reflect the bonus element from the rights offering completed in October 2025. See “Note 12 - Net Loss per Share Attributable to Common Stockholders” for additional information.</w:t>
      </w:r>
    </w:p>
    <w:p>
      <w:pPr>
        <w:spacing w:after="0" w:line="54" w:lineRule="exact"/>
        <w:rPr>
          <w:rFonts w:ascii="Arial" w:cs="Arial" w:eastAsia="Arial" w:hAnsi="Arial"/>
          <w:sz w:val="14"/>
          <w:szCs w:val="14"/>
          <w:b w:val="1"/>
          <w:bCs w:val="1"/>
          <w:color w:val="auto"/>
        </w:rPr>
      </w:pPr>
    </w:p>
    <w:p>
      <w:pPr>
        <w:ind w:left="380" w:right="2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35" w:lineRule="exact"/>
        <w:rPr>
          <w:rFonts w:ascii="Arial" w:cs="Arial" w:eastAsia="Arial" w:hAnsi="Arial"/>
          <w:sz w:val="14"/>
          <w:szCs w:val="14"/>
          <w:b w:val="1"/>
          <w:bCs w:val="1"/>
          <w:color w:val="auto"/>
        </w:rPr>
      </w:pPr>
    </w:p>
    <w:p>
      <w:pPr>
        <w:ind w:left="3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The results for the three months ended April 30, 2026 are not necessarily indicative of the operating results expected for the year ending January 31, 2027 or any future period. The condensed consolidated balance sheet as of January 31, 2026 is derived from the audited consolidated financial statements.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2026, which can be found in the Company’s Annual Report on Form 10-K filed with the SEC on April 14, 2026.</w:t>
      </w:r>
    </w:p>
    <w:p>
      <w:pPr>
        <w:spacing w:after="0" w:line="56"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93" w:lineRule="exact"/>
        <w:rPr>
          <w:rFonts w:ascii="Arial" w:cs="Arial" w:eastAsia="Arial" w:hAnsi="Arial"/>
          <w:sz w:val="14"/>
          <w:szCs w:val="14"/>
          <w:b w:val="1"/>
          <w:bCs w:val="1"/>
          <w:color w:val="auto"/>
        </w:rPr>
      </w:pPr>
    </w:p>
    <w:p>
      <w:pPr>
        <w:ind w:left="380" w:right="42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Company’s fiscal year ends on January 31 of the next calendar year. For example, references to “fiscal year 2026” refer to the fiscal year ending January 31, 2027, references to “fiscal year 2025” refer to the fiscal year ended January 31, 2026, and references to “fiscal year 2024” refer to the fiscal year ended January 31, 2025.</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Segment Information</w:t>
      </w:r>
    </w:p>
    <w:p>
      <w:pPr>
        <w:spacing w:after="0" w:line="94" w:lineRule="exact"/>
        <w:rPr>
          <w:sz w:val="20"/>
          <w:szCs w:val="20"/>
          <w:color w:val="auto"/>
        </w:rPr>
      </w:pPr>
    </w:p>
    <w:p>
      <w:pPr>
        <w:ind w:left="380" w:right="120"/>
        <w:spacing w:after="0" w:line="265" w:lineRule="auto"/>
        <w:rPr>
          <w:sz w:val="20"/>
          <w:szCs w:val="20"/>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w:t>
      </w:r>
    </w:p>
    <w:p>
      <w:pPr>
        <w:spacing w:after="0" w:line="53"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The key measure of segment profit or loss that the CODM uses to make operating decisions, allocate resources, and evaluate financial performance is the Company’s net loss as reported in the Company’s condensed consolidated statements of operations.</w:t>
      </w:r>
    </w:p>
    <w:p>
      <w:pPr>
        <w:spacing w:after="0" w:line="35"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Significant expenses within net loss include fulfillment, technology, marketing, and general and administrative expenses, rental product depreciation and revenue share, and other depreciation and amortization. These operating expenses are each separately presented in the condensed consolidated statements of operations. Other segment items within net loss include interest income (expense), net, other income (expense), net and income tax benefit (expense). The CODM evaluates financial performance by comparing consolidated expenses against the budget and forecasted expenses to inform decision-making.</w:t>
      </w:r>
    </w:p>
    <w:p>
      <w:pPr>
        <w:spacing w:after="0" w:line="53" w:lineRule="exact"/>
        <w:rPr>
          <w:sz w:val="20"/>
          <w:szCs w:val="20"/>
          <w:color w:val="auto"/>
        </w:rPr>
      </w:pPr>
    </w:p>
    <w:p>
      <w:pPr>
        <w:ind w:left="380" w:right="1440"/>
        <w:spacing w:after="0" w:line="379" w:lineRule="auto"/>
        <w:rPr>
          <w:sz w:val="20"/>
          <w:szCs w:val="20"/>
          <w:color w:val="auto"/>
        </w:rPr>
      </w:pPr>
      <w:r>
        <w:rPr>
          <w:rFonts w:ascii="Arial" w:cs="Arial" w:eastAsia="Arial" w:hAnsi="Arial"/>
          <w:sz w:val="14"/>
          <w:szCs w:val="14"/>
          <w:color w:val="auto"/>
        </w:rPr>
        <w:t xml:space="preserve">All revenue is attributed to customers based in the United States and substantially all the Company’s long-lived assets are located in the United States. </w:t>
      </w:r>
      <w:r>
        <w:rPr>
          <w:rFonts w:ascii="Arial" w:cs="Arial" w:eastAsia="Arial" w:hAnsi="Arial"/>
          <w:sz w:val="14"/>
          <w:szCs w:val="14"/>
          <w:b w:val="1"/>
          <w:bCs w:val="1"/>
          <w:color w:val="auto"/>
        </w:rPr>
        <w:t>Use of Estimates</w:t>
      </w:r>
    </w:p>
    <w:p>
      <w:pPr>
        <w:spacing w:after="0" w:line="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 and recoverability of long-lived assets.</w:t>
      </w:r>
    </w:p>
    <w:p>
      <w:pPr>
        <w:spacing w:after="0" w:line="55"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As of April 30, 2026,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4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three months ended April 30, 2026 and 2025.</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ind w:left="380" w:right="2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condensed consolidated financial statements. These measurements are conducted on an ongoing basis, at least annually. Fair value is defined as the price that would be received to sell an asset or paid to transfer a liability in an orderly transaction between market participants at the measurement date.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right="140"/>
        <w:spacing w:after="0" w:line="271" w:lineRule="auto"/>
        <w:rPr>
          <w:sz w:val="20"/>
          <w:szCs w:val="20"/>
          <w:color w:val="auto"/>
        </w:rPr>
      </w:pPr>
      <w:r>
        <w:rPr>
          <w:rFonts w:ascii="Arial" w:cs="Arial" w:eastAsia="Arial" w:hAnsi="Arial"/>
          <w:sz w:val="14"/>
          <w:szCs w:val="14"/>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9"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94" w:lineRule="exact"/>
        <w:rPr>
          <w:sz w:val="20"/>
          <w:szCs w:val="20"/>
          <w:color w:val="auto"/>
        </w:rPr>
      </w:pPr>
    </w:p>
    <w:p>
      <w:pPr>
        <w:ind w:left="380" w:right="540"/>
        <w:spacing w:after="0" w:line="290" w:lineRule="auto"/>
        <w:rPr>
          <w:sz w:val="20"/>
          <w:szCs w:val="20"/>
          <w:color w:val="auto"/>
        </w:rPr>
      </w:pPr>
      <w:r>
        <w:rPr>
          <w:rFonts w:ascii="Arial" w:cs="Arial" w:eastAsia="Arial" w:hAnsi="Arial"/>
          <w:sz w:val="14"/>
          <w:szCs w:val="14"/>
          <w:color w:val="auto"/>
        </w:rPr>
        <w:t>The Company had restricted cash balances for cash collateralized standby letters of credit as of April 30, 2026 and January 31, 2026 of $8.2 million and $8.7 million, respectively, primarily to satisfy security deposit requirements on its leases, as well as for rental product purchases and credit card transactions.</w:t>
      </w:r>
    </w:p>
    <w:p>
      <w:pPr>
        <w:spacing w:after="0" w:line="141" w:lineRule="exact"/>
        <w:rPr>
          <w:sz w:val="20"/>
          <w:szCs w:val="20"/>
          <w:color w:val="auto"/>
        </w:rPr>
      </w:pPr>
    </w:p>
    <w:p>
      <w:pPr>
        <w:ind w:left="380" w:right="180"/>
        <w:spacing w:after="0" w:line="290" w:lineRule="auto"/>
        <w:rPr>
          <w:sz w:val="20"/>
          <w:szCs w:val="20"/>
          <w:color w:val="auto"/>
        </w:rPr>
      </w:pPr>
      <w:r>
        <w:rPr>
          <w:rFonts w:ascii="Arial" w:cs="Arial" w:eastAsia="Arial" w:hAnsi="Arial"/>
          <w:sz w:val="14"/>
          <w:szCs w:val="14"/>
          <w:color w:val="auto"/>
        </w:rPr>
        <w:t>The following table provides a reconciliation of cash, cash equivalents and restricted cash reported within the Company’s Condensed Consolidated Balance Sheets, which sum to the total of the same amounts shown in the Company’s Condensed Consolidated Statements of Cash Flows (in millions):</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January 31,</w:t>
            </w:r>
          </w:p>
        </w:tc>
      </w:tr>
      <w:tr>
        <w:trPr>
          <w:trHeight w:val="197"/>
        </w:trPr>
        <w:tc>
          <w:tcPr>
            <w:tcW w:w="73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2026</w:t>
            </w:r>
          </w:p>
        </w:tc>
      </w:tr>
      <w:tr>
        <w:trPr>
          <w:trHeight w:val="198"/>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2"/>
        </w:trPr>
        <w:tc>
          <w:tcPr>
            <w:tcW w:w="73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50.4</w:t>
            </w:r>
          </w:p>
        </w:tc>
      </w:tr>
      <w:tr>
        <w:trPr>
          <w:trHeight w:val="22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current</w:t>
            </w: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noncurrent</w:t>
            </w: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and cash equivalents and restricted cash</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Prepaid Expenses and Other Current Assets</w:t>
      </w:r>
    </w:p>
    <w:p>
      <w:pPr>
        <w:spacing w:after="0" w:line="94" w:lineRule="exact"/>
        <w:rPr>
          <w:sz w:val="20"/>
          <w:szCs w:val="20"/>
          <w:color w:val="auto"/>
        </w:rPr>
      </w:pPr>
    </w:p>
    <w:p>
      <w:pPr>
        <w:jc w:val="both"/>
        <w:ind w:left="380" w:right="520"/>
        <w:spacing w:after="0" w:line="290" w:lineRule="auto"/>
        <w:rPr>
          <w:sz w:val="20"/>
          <w:szCs w:val="20"/>
          <w:color w:val="auto"/>
        </w:rPr>
      </w:pPr>
      <w:r>
        <w:rPr>
          <w:rFonts w:ascii="Arial" w:cs="Arial" w:eastAsia="Arial" w:hAnsi="Arial"/>
          <w:sz w:val="14"/>
          <w:szCs w:val="14"/>
          <w:color w:val="auto"/>
        </w:rPr>
        <w:t>Prepaid expenses and other current assets consist primarily of shipping rebates, accounts receivable, net, interest receivable, prepaid insurance, prepaid technology expenses, and prepaid taxes.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Condensed Consolidated Balance Sheets.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jc w:val="both"/>
        <w:ind w:left="380" w:right="80"/>
        <w:spacing w:after="0" w:line="271"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154"/>
        </w:trPr>
        <w:tc>
          <w:tcPr>
            <w:tcW w:w="7120" w:type="dxa"/>
            <w:vAlign w:val="bottom"/>
          </w:tcPr>
          <w:p>
            <w:pPr>
              <w:spacing w:after="0"/>
              <w:rPr>
                <w:sz w:val="13"/>
                <w:szCs w:val="13"/>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1560" w:type="dxa"/>
            <w:vAlign w:val="bottom"/>
          </w:tcPr>
          <w:p>
            <w:pPr>
              <w:jc w:val="right"/>
              <w:ind w:right="334"/>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7120" w:type="dxa"/>
            <w:vAlign w:val="bottom"/>
          </w:tcPr>
          <w:p>
            <w:pPr>
              <w:spacing w:after="0"/>
              <w:rPr>
                <w:sz w:val="20"/>
                <w:szCs w:val="20"/>
                <w:color w:val="auto"/>
              </w:rPr>
            </w:pPr>
            <w:r>
              <w:rPr>
                <w:rFonts w:ascii="Arial" w:cs="Arial" w:eastAsia="Arial" w:hAnsi="Arial"/>
                <w:sz w:val="14"/>
                <w:szCs w:val="14"/>
                <w:color w:val="auto"/>
              </w:rPr>
              <w:t>Apparel</w:t>
            </w:r>
          </w:p>
        </w:tc>
        <w:tc>
          <w:tcPr>
            <w:tcW w:w="142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3 years</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7120" w:type="dxa"/>
            <w:vAlign w:val="bottom"/>
          </w:tcPr>
          <w:p>
            <w:pPr>
              <w:spacing w:after="0"/>
              <w:rPr>
                <w:sz w:val="20"/>
                <w:szCs w:val="20"/>
                <w:color w:val="auto"/>
              </w:rPr>
            </w:pPr>
            <w:r>
              <w:rPr>
                <w:rFonts w:ascii="Arial" w:cs="Arial" w:eastAsia="Arial" w:hAnsi="Arial"/>
                <w:sz w:val="14"/>
                <w:szCs w:val="14"/>
                <w:color w:val="auto"/>
              </w:rPr>
              <w:t>Accessories</w:t>
            </w:r>
          </w:p>
        </w:tc>
        <w:tc>
          <w:tcPr>
            <w:tcW w:w="1500" w:type="dxa"/>
            <w:vAlign w:val="bottom"/>
            <w:gridSpan w:val="2"/>
          </w:tcPr>
          <w:p>
            <w:pPr>
              <w:ind w:left="94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94" w:lineRule="exact"/>
        <w:rPr>
          <w:sz w:val="20"/>
          <w:szCs w:val="20"/>
          <w:color w:val="auto"/>
        </w:rPr>
      </w:pPr>
    </w:p>
    <w:p>
      <w:pPr>
        <w:ind w:left="380" w:right="280"/>
        <w:spacing w:after="0" w:line="265" w:lineRule="auto"/>
        <w:rPr>
          <w:sz w:val="20"/>
          <w:szCs w:val="20"/>
          <w:color w:val="auto"/>
        </w:rPr>
      </w:pPr>
      <w:r>
        <w:rPr>
          <w:rFonts w:ascii="Arial" w:cs="Arial" w:eastAsia="Arial" w:hAnsi="Arial"/>
          <w:sz w:val="14"/>
          <w:szCs w:val="14"/>
          <w:color w:val="auto"/>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53" w:lineRule="exact"/>
        <w:rPr>
          <w:sz w:val="20"/>
          <w:szCs w:val="20"/>
          <w:color w:val="auto"/>
        </w:rPr>
      </w:pPr>
    </w:p>
    <w:p>
      <w:pPr>
        <w:ind w:left="380" w:right="60"/>
        <w:spacing w:after="0" w:line="265" w:lineRule="auto"/>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 for sale as of April 30, 2026 and January 31, 2026 was $1.5 million and $1.8 million, respectively. The accelerated depreciation related to rental product held for sale was $0.7 million and $1.5 million for the three months ended April 30, 2026 and 2025, respectively. The accelerated depreciation is presented on the condensed consolidated statements of operations within Rental product depreciation and revenue share.</w:t>
      </w:r>
    </w:p>
    <w:p>
      <w:pPr>
        <w:spacing w:after="0" w:line="53" w:lineRule="exact"/>
        <w:rPr>
          <w:sz w:val="20"/>
          <w:szCs w:val="20"/>
          <w:color w:val="auto"/>
        </w:rPr>
      </w:pPr>
    </w:p>
    <w:p>
      <w:pPr>
        <w:ind w:left="380" w:right="400"/>
        <w:spacing w:after="0" w:line="271" w:lineRule="auto"/>
        <w:rPr>
          <w:sz w:val="20"/>
          <w:szCs w:val="20"/>
          <w:color w:val="auto"/>
        </w:rPr>
      </w:pPr>
      <w:r>
        <w:rPr>
          <w:rFonts w:ascii="Arial" w:cs="Arial" w:eastAsia="Arial" w:hAnsi="Arial"/>
          <w:sz w:val="14"/>
          <w:szCs w:val="14"/>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spacing w:after="0" w:line="49"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$6.4 million and $4.9 million for the three months ended April 30, 2026 and 2025, respectively. Proceeds from the liquidation of rental product, net of costs to sell, were $0.4 million and $0.9 million for the three months ended April 30, 2026 and 2025, respectively.</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60"/>
        <w:spacing w:after="0" w:line="265" w:lineRule="auto"/>
        <w:rPr>
          <w:sz w:val="20"/>
          <w:szCs w:val="20"/>
          <w:color w:val="auto"/>
        </w:rPr>
      </w:pPr>
      <w:r>
        <w:rPr>
          <w:rFonts w:ascii="Arial" w:cs="Arial" w:eastAsia="Arial" w:hAnsi="Arial"/>
          <w:sz w:val="14"/>
          <w:szCs w:val="14"/>
          <w:color w:val="auto"/>
        </w:rPr>
        <w:t xml:space="preserve">Subscription and a-la-carte rental fees (“Subscription and Reserve rental revenue”) are recognized in accordance with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(“ASC 842”). Other revenue, primarily related to the sale of rental product, is recognized under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(“ASC 606”) at the date of delivery of the product to the customer. Other revenue represented 14% and 11% of total revenue for the three months ended April 30, 2026 and 2025, respectively. Sales of rental product to customers within Other revenue represented 13% and 11% of total revenue for the three months ended April 30, 2026 and 2025, respectively.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Revenue is presented net of promotional discounts, customer credit issuances and refunds and recognized in accordance with either ASC 842 or ASC 606. The Company recognizes discounts on subscription and reserve fees ratably over the subscription or rental period. Discounts on sales of rental product to customers are recognized upon delivery. Refunds and customer credit issuances are recognized over the subscription or rental period or when returned items are received. Revenue is presented net of taxes that are collected from customers and remitted to governmental authorities.</w:t>
      </w:r>
    </w:p>
    <w:p>
      <w:pPr>
        <w:spacing w:after="0" w:line="53" w:lineRule="exact"/>
        <w:rPr>
          <w:sz w:val="20"/>
          <w:szCs w:val="20"/>
          <w:color w:val="auto"/>
        </w:rPr>
      </w:pPr>
    </w:p>
    <w:p>
      <w:pPr>
        <w:ind w:left="380"/>
        <w:spacing w:after="0" w:line="256" w:lineRule="auto"/>
        <w:rPr>
          <w:sz w:val="20"/>
          <w:szCs w:val="20"/>
          <w:color w:val="auto"/>
        </w:rPr>
      </w:pPr>
      <w:r>
        <w:rPr>
          <w:rFonts w:ascii="Arial" w:cs="Arial" w:eastAsia="Arial" w:hAnsi="Arial"/>
          <w:sz w:val="14"/>
          <w:szCs w:val="14"/>
          <w:color w:val="auto"/>
        </w:rPr>
        <w:t>The Company issued gift cards and customer credits during the three months ended April 30, 2026 and the years ended January 31, 2026 and 2025. In the year ended January 31, 2026, the Company modified its arrangement with its third-party gift card partner. Under the current model, the partner maintains the legal obligation to the holder and holds the associated cash until the customer applies the gift card to their Rent the Runway account. Upon application, the gift card is converted into a customer credit, at which point the Company recognizes a liability and corresponding receivable from the partner. In the year ended January 31, 2025, the Company operated under a different model with the same third-party gift card partner where the Company received cash and recognized a liability at the time of gift card issuance. The gift cards issued during the three months ended April 30, 2026 and the years ended January 31, 2026 and 2025 were immaterial to the Company’s condensed consolidated financial statements. Upon redemption of the gift card or credit, revenue is recognized in line with the customer’s rental or item purchase. The Company’s gift card liability and customer credit liability are presented within Customer credit and gift card liabilities on the Condensed Consolidated Balance Sheets. During the three months ended April 30, 2026, $0.5 million of credits included in the customer credit liability as of January 31, 2026 were redeemed. Gift cards and customer credits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gift cards and credits when the Company has any legal obligation to remit such credits to government authorities in relevant jurisdictions.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160"/>
        <w:spacing w:after="0" w:line="271"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49"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 Additionally, the Company receives consideration from late fees associated with its Subscription and Reserve rental programs, which are considered variable lease payments.</w:t>
      </w:r>
    </w:p>
    <w:p>
      <w:pPr>
        <w:spacing w:after="0" w:line="53" w:lineRule="exact"/>
        <w:rPr>
          <w:sz w:val="20"/>
          <w:szCs w:val="20"/>
          <w:color w:val="auto"/>
        </w:rPr>
      </w:pPr>
    </w:p>
    <w:p>
      <w:pPr>
        <w:ind w:left="380" w:right="30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April 30, 2026 and January 31, 2026.</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right="220"/>
        <w:spacing w:after="0" w:line="262"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April 30, 2026 and January 31, 2026.</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From time to time, other revenue may include revenue generated from pilots and other growth initiatives which may cause quarterly fluctuations in the Other revenue line.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is based on the closing price of the common stock on the date of grant as reported on Nasdaq. Upon grant of awards, the Company also estimates an amount of forfeitures that will occur prior to vesting. There were no stock options granted during the three months ended April 30, 2026 and 2025.</w:t>
      </w:r>
    </w:p>
    <w:p>
      <w:pPr>
        <w:spacing w:after="0" w:line="163" w:lineRule="exact"/>
        <w:rPr>
          <w:sz w:val="20"/>
          <w:szCs w:val="20"/>
          <w:color w:val="auto"/>
        </w:rPr>
      </w:pPr>
    </w:p>
    <w:p>
      <w:pPr>
        <w:ind w:left="380" w:right="80"/>
        <w:spacing w:after="0" w:line="258" w:lineRule="auto"/>
        <w:rPr>
          <w:sz w:val="20"/>
          <w:szCs w:val="20"/>
          <w:color w:val="auto"/>
        </w:rPr>
      </w:pPr>
      <w:r>
        <w:rPr>
          <w:rFonts w:ascii="Arial" w:cs="Arial" w:eastAsia="Arial" w:hAnsi="Arial"/>
          <w:sz w:val="14"/>
          <w:szCs w:val="14"/>
          <w:color w:val="auto"/>
        </w:rPr>
        <w:t>The Company has granted two types of restricted stock units denominated in shares of Class A common stock: RSUs which vest upon satisfaction of time-based service conditions and performance-based RSUs (“PSUs”) which will vest upon satisfaction of time-based service and performance-based conditions. We also grant certain PSUs to certain executives which also include market-based conditions. The Company records share-based compensation expense for these RSUs on a straight-line basis over the requisite service period. Stock-based compensation expense for PSUs with performance-based conditions, expense will be recognized based on estimated performance against established performance targets and revisions will be recorded as a cumulative adjustment to earnings in the period of the revision. For PSUs with market-based conditions, the grant date fair value is determined using a valuation model that incorporates the probability of achieving the market condition, and expense is recognized over the requisite service period. The Company also estimates an amount of forfeitures that will occur prior to vesting. See “Note 11 - Share-based Compensation Plans” for a description of the accounting for share-based awards.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Interest Income and Expense</w:t>
      </w:r>
    </w:p>
    <w:p>
      <w:pPr>
        <w:spacing w:after="0" w:line="94" w:lineRule="exact"/>
        <w:rPr>
          <w:sz w:val="20"/>
          <w:szCs w:val="20"/>
          <w:color w:val="auto"/>
        </w:rPr>
      </w:pPr>
    </w:p>
    <w:p>
      <w:pPr>
        <w:jc w:val="both"/>
        <w:ind w:left="380" w:right="100"/>
        <w:spacing w:after="0" w:line="271" w:lineRule="auto"/>
        <w:rPr>
          <w:sz w:val="20"/>
          <w:szCs w:val="20"/>
          <w:color w:val="auto"/>
        </w:rPr>
      </w:pPr>
      <w:r>
        <w:rPr>
          <w:rFonts w:ascii="Arial" w:cs="Arial" w:eastAsia="Arial" w:hAnsi="Arial"/>
          <w:sz w:val="14"/>
          <w:szCs w:val="14"/>
          <w:color w:val="auto"/>
        </w:rPr>
        <w:t>Interest income and expense consist primarily of interest on the Company’s debt facility, debt discount (premium) amortization, and financing lease interest expense offset by interest income earned. The Company recognized interest and debt discount (premium) amortization expense of $0.5 million and $7.0 million during the three months ended April 30, 2026 and 2025, respectively.</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Interim Impairment Evaluation</w:t>
      </w:r>
    </w:p>
    <w:p>
      <w:pPr>
        <w:spacing w:after="0" w:line="94"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During the three months ended April 30, 2026 and year ended January 31, 2026, the Company concluded a triggering event had occurred during the first quarter of fiscal year 2026 and fiscal year 2025 due to a decline in the Company’s stock price. For the three months ended April 30, 2026 and year ended January 31, 2026, the Company performed a quantitative assessment and concluded the undiscounted cash flows expected to be generated by the use and/or eventual disposition of the Company’s long-lived assets exceeded their carrying values. Therefore, no impairment was recognized for the three months ended April 30, 2026 and year ended January 31, 2026.</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Issued Accounting Pronouncements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Interim Reporting (Topic 270): Narrow Scope Improvements</w:t>
      </w:r>
    </w:p>
    <w:p>
      <w:pPr>
        <w:spacing w:after="0" w:line="198"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 xml:space="preserve">In December 2025, the FASB issued ASU 2025-11, </w:t>
      </w:r>
      <w:r>
        <w:rPr>
          <w:rFonts w:ascii="Arial" w:cs="Arial" w:eastAsia="Arial" w:hAnsi="Arial"/>
          <w:sz w:val="14"/>
          <w:szCs w:val="14"/>
          <w:i w:val="1"/>
          <w:iCs w:val="1"/>
          <w:color w:val="auto"/>
        </w:rPr>
        <w:t>Interim Reporting (Topic 270): Narrow Scope Improvements</w:t>
      </w:r>
      <w:r>
        <w:rPr>
          <w:rFonts w:ascii="Arial" w:cs="Arial" w:eastAsia="Arial" w:hAnsi="Arial"/>
          <w:sz w:val="14"/>
          <w:szCs w:val="14"/>
          <w:color w:val="auto"/>
        </w:rPr>
        <w:t>, to improve the navigability of required interim disclosures and clarify when the guidance is applicable. The amendments provide additional guidance on what disclosures should be provided in interim reporting periods and adds a principle that requires entities to disclose events since the end of the last annual reporting period that have a material impact on the entity. This standard is effective for interim reporting periods within annual reporting periods beginning after December 15, 2028, and early adoption is permitted. The Company is currently evaluating the impact that the adoption of this standard will have on its financial statement disclosures.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Intangibles—Goodwill and Other—Internal-Use Software</w:t>
      </w:r>
    </w:p>
    <w:p>
      <w:pPr>
        <w:spacing w:after="0" w:line="92" w:lineRule="exact"/>
        <w:rPr>
          <w:sz w:val="20"/>
          <w:szCs w:val="20"/>
          <w:color w:val="auto"/>
        </w:rPr>
      </w:pPr>
    </w:p>
    <w:p>
      <w:pPr>
        <w:ind w:left="380" w:right="20"/>
        <w:spacing w:after="0" w:line="259" w:lineRule="auto"/>
        <w:rPr>
          <w:sz w:val="20"/>
          <w:szCs w:val="20"/>
          <w:color w:val="auto"/>
        </w:rPr>
      </w:pPr>
      <w:r>
        <w:rPr>
          <w:rFonts w:ascii="Arial" w:cs="Arial" w:eastAsia="Arial" w:hAnsi="Arial"/>
          <w:sz w:val="14"/>
          <w:szCs w:val="14"/>
          <w:color w:val="auto"/>
        </w:rPr>
        <w:t xml:space="preserve">In September 2025, the FASB issued ASU 2025-06, </w:t>
      </w:r>
      <w:r>
        <w:rPr>
          <w:rFonts w:ascii="Arial" w:cs="Arial" w:eastAsia="Arial" w:hAnsi="Arial"/>
          <w:sz w:val="14"/>
          <w:szCs w:val="14"/>
          <w:i w:val="1"/>
          <w:iCs w:val="1"/>
          <w:color w:val="auto"/>
        </w:rPr>
        <w:t>Intangibles—Goodwill and Other—Internal-Use Software (Subtopic 350-40): Targeted Improvements to the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for Internal-Use Software</w:t>
      </w:r>
      <w:r>
        <w:rPr>
          <w:rFonts w:ascii="Arial" w:cs="Arial" w:eastAsia="Arial" w:hAnsi="Arial"/>
          <w:sz w:val="14"/>
          <w:szCs w:val="14"/>
          <w:color w:val="auto"/>
        </w:rPr>
        <w:t>. The amendments modernize the accounting for software costs accounted for under ASC 350-40. The amendments remove all references to</w:t>
      </w:r>
      <w:r>
        <w:rPr>
          <w:rFonts w:ascii="Arial" w:cs="Arial" w:eastAsia="Arial" w:hAnsi="Arial"/>
          <w:sz w:val="14"/>
          <w:szCs w:val="14"/>
          <w:i w:val="1"/>
          <w:iCs w:val="1"/>
          <w:color w:val="auto"/>
        </w:rPr>
        <w:t xml:space="preserve"> </w:t>
      </w:r>
      <w:r>
        <w:rPr>
          <w:rFonts w:ascii="Arial" w:cs="Arial" w:eastAsia="Arial" w:hAnsi="Arial"/>
          <w:sz w:val="14"/>
          <w:szCs w:val="14"/>
          <w:color w:val="auto"/>
        </w:rPr>
        <w:t>software development stages and require entities to start capitalizing software costs when management has authorized and committed to funding the software project and it is probable that the project will be completed and the software will be used to perform the intended function. This standard is effective for annual reporting periods beginning after December 15, 2027, including interim periods within those annual periods. Early adoption is permitted. The amendments are to be applied retrospectively, prospectively, or a modified transition approach may be used based on the status of the project and whether software costs were capitalized before the date of adoption. The Company is currently evaluating the impact that the adoption of this standard will have on the consolidated financial statements.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Statement - Reporting Comprehensive Income - Expense Disaggregation Disclosures</w:t>
      </w:r>
    </w:p>
    <w:p>
      <w:pPr>
        <w:spacing w:after="0" w:line="92" w:lineRule="exact"/>
        <w:rPr>
          <w:sz w:val="20"/>
          <w:szCs w:val="20"/>
          <w:color w:val="auto"/>
        </w:rPr>
      </w:pPr>
    </w:p>
    <w:p>
      <w:pPr>
        <w:ind w:left="380" w:right="80"/>
        <w:spacing w:after="0" w:line="259"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w:t>
      </w:r>
      <w:r>
        <w:rPr>
          <w:rFonts w:ascii="Arial" w:cs="Arial" w:eastAsia="Arial" w:hAnsi="Arial"/>
          <w:sz w:val="14"/>
          <w:szCs w:val="14"/>
          <w:color w:val="auto"/>
        </w:rPr>
        <w:t xml:space="preserve">. In January 2025, the FASB issued ASU 2025-01, </w:t>
      </w:r>
      <w:r>
        <w:rPr>
          <w:rFonts w:ascii="Arial" w:cs="Arial" w:eastAsia="Arial" w:hAnsi="Arial"/>
          <w:sz w:val="14"/>
          <w:szCs w:val="14"/>
          <w:i w:val="1"/>
          <w:iCs w:val="1"/>
          <w:color w:val="auto"/>
        </w:rPr>
        <w:t>Income Statement—Reporting Comprehensive Income—Expense Disaggregation Disclosures (Subtopic 220-40): Clarifying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the Effective Date </w:t>
      </w:r>
      <w:r>
        <w:rPr>
          <w:rFonts w:ascii="Arial" w:cs="Arial" w:eastAsia="Arial" w:hAnsi="Arial"/>
          <w:sz w:val="14"/>
          <w:szCs w:val="14"/>
          <w:color w:val="auto"/>
        </w:rPr>
        <w:t>to clarify the effective date of ASU 2024-03. The amendments require disclosure of additional information about specific expense categories in the notes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financial statements. This standard is effective for annual reporting periods beginning after December 15, 2026, and interim reporting periods within annual reporting periods beginning after December 15, 2027. Early adoption is permitted. The amendments are to be applied either prospectively to financial statements issued for reporting periods after the effective date of this Update or retrospectively to any or all prior periods presented in the financial statements. The Company is currently evaluating the impact that the adoption of this standard will have on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0" w:right="2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The Company has incurred net losses from operations of $(18.9) million for the three months ended April 30, 2026. The Company has incurred significant recurring net operating losses since inception and has an accumulated deficit of $(1,119.3) million as of April 30, 2026. The Company has historically relied on debt and equity financing to fund its operations. The Company’s principal sources of liquidity are existing cash and cash equivalents and cash flows from operating activities. There is no remaining borrowing availability under the Company’s New Credit Agreement, as defined below. The Company’s cash flows (used in) provided by operations for the three months ended April 30, 2026 were $(3.8) million compared to $8.3 million for the three months ended April 30, 2025. Cash out flows from investing activities for the three months ended April 30, 2026 were $(9.8) million compared to $(14.7) million for the three months ended April 30, 2025. As of April 30, 2026, the Company held cash and cash equivalents of $37.1 million and long-term debt of $157.1 million with a maturity date in October 2029.</w:t>
      </w:r>
    </w:p>
    <w:p>
      <w:pPr>
        <w:spacing w:after="0" w:line="57" w:lineRule="exact"/>
        <w:rPr>
          <w:rFonts w:ascii="Arial" w:cs="Arial" w:eastAsia="Arial" w:hAnsi="Arial"/>
          <w:sz w:val="14"/>
          <w:szCs w:val="14"/>
          <w:b w:val="1"/>
          <w:bCs w:val="1"/>
          <w:color w:val="auto"/>
        </w:rPr>
      </w:pPr>
    </w:p>
    <w:p>
      <w:pPr>
        <w:ind w:left="38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The Company experienced net operating losses for the last three years and an increase in such losses during the year ended January 31, 2026 as compared to the year ended January 31, 2025. The Company also experienced positive cash flows from operations in fiscal years 2025 and 2024, though it continued to have cash outflows related to its investing activities. The increase in cash flows (used) in investing activities during the year ended January 31, 2026 as compared to the year ended January 31, 2025 was due to a strategic, intentional increase in its investment in rental product purchases, inclusive of additional units, from multiple acquisition channels for fiscal year 2025. To the extent the Company is impacted by macroeconomic trends, or other factors, including, but not limited to, lower demand for our business, increased rental product spend, or tariffs, the Company plans to preserve liquidity by reducing fixed and variable costs, which may include additional reductions to labor, operating expenses, and/or capital expenditures. However, these actions may not provide sufficient incremental liquidity to fund the Company’s long-term obligations.</w:t>
      </w:r>
    </w:p>
    <w:p>
      <w:pPr>
        <w:spacing w:after="0" w:line="163" w:lineRule="exact"/>
        <w:rPr>
          <w:rFonts w:ascii="Arial" w:cs="Arial" w:eastAsia="Arial" w:hAnsi="Arial"/>
          <w:sz w:val="14"/>
          <w:szCs w:val="14"/>
          <w:b w:val="1"/>
          <w:bCs w:val="1"/>
          <w:color w:val="auto"/>
        </w:rPr>
      </w:pPr>
    </w:p>
    <w:p>
      <w:pPr>
        <w:ind w:left="3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See “Note 6 - Long-Term Debt” for a description of the Company’s Recapitalization Transactions completed in October 2025. On January 28, 2026, the Company entered into the First Amendment to the New Credit Agreement which permanently removed the minimum liquidity maintenance covenant. The Second Amendment was executed on April 1, 2026 and provides the Company with the ability to capitalize interest in lieu of cash payments until May 3, 2027. The Company expects that its existing resources and future cash flows from operations and cash and cash equivalents, will provide it with sufficient liquidity to meet its obligations for at least the next twelve months from the issuance date of these financial statements. The Company plans to explore additional funding sources to increase liquidity and strengthen its balance sheet. However, there can be no assurance plans will be completed.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199" w:lineRule="exact"/>
        <w:rPr>
          <w:rFonts w:ascii="Arial" w:cs="Arial" w:eastAsia="Arial" w:hAnsi="Arial"/>
          <w:sz w:val="14"/>
          <w:szCs w:val="14"/>
          <w:b w:val="1"/>
          <w:bCs w:val="1"/>
          <w:color w:val="auto"/>
        </w:rPr>
      </w:pPr>
    </w:p>
    <w:p>
      <w:pPr>
        <w:ind w:left="3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During the year ended January 31, 2025, the Company entered into a sublease agreement for the ninth floor of its corporate headquarters in Brooklyn, NY for the remainder of the lease term through November 2032. The sublease commenced in December 2024 and does not relieve the Company of its primary lease obligations. The Company recorded immaterial additional assets for the sublease and the net amount received from the sublease is recorded in general and administrative expenses on the Condensed Consolidated Statements of Operations.</w:t>
      </w:r>
    </w:p>
    <w:p>
      <w:pPr>
        <w:spacing w:after="0" w:line="137" w:lineRule="exact"/>
        <w:rPr>
          <w:rFonts w:ascii="Arial" w:cs="Arial" w:eastAsia="Arial" w:hAnsi="Arial"/>
          <w:sz w:val="14"/>
          <w:szCs w:val="14"/>
          <w:b w:val="1"/>
          <w:bCs w:val="1"/>
          <w:color w:val="auto"/>
        </w:rPr>
      </w:pPr>
    </w:p>
    <w:p>
      <w:pPr>
        <w:ind w:left="380" w:right="1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April 30, 2026:</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Financing</w:t>
            </w:r>
          </w:p>
        </w:tc>
      </w:tr>
      <w:tr>
        <w:trPr>
          <w:trHeight w:val="161"/>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year:</w:t>
            </w: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2026</w:t>
            </w:r>
          </w:p>
        </w:tc>
        <w:tc>
          <w:tcPr>
            <w:tcW w:w="1060" w:type="dxa"/>
            <w:vAlign w:val="bottom"/>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0.2</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2027</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0.2</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2028</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0.2</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2029</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2030</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Thereafter</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11"/>
              <w:spacing w:after="0"/>
              <w:rPr>
                <w:sz w:val="20"/>
                <w:szCs w:val="20"/>
                <w:color w:val="auto"/>
              </w:rPr>
            </w:pPr>
            <w:r>
              <w:rPr>
                <w:rFonts w:ascii="Arial" w:cs="Arial" w:eastAsia="Arial" w:hAnsi="Arial"/>
                <w:sz w:val="14"/>
                <w:szCs w:val="14"/>
                <w:color w:val="auto"/>
              </w:rPr>
              <w:t>0.2</w:t>
            </w:r>
          </w:p>
        </w:tc>
      </w:tr>
      <w:tr>
        <w:trPr>
          <w:trHeight w:val="171"/>
        </w:trPr>
        <w:tc>
          <w:tcPr>
            <w:tcW w:w="7620" w:type="dxa"/>
            <w:vAlign w:val="bottom"/>
          </w:tcPr>
          <w:p>
            <w:pPr>
              <w:ind w:left="280"/>
              <w:spacing w:after="0"/>
              <w:rPr>
                <w:sz w:val="20"/>
                <w:szCs w:val="20"/>
                <w:color w:val="auto"/>
              </w:rPr>
            </w:pPr>
            <w:r>
              <w:rPr>
                <w:rFonts w:ascii="Arial" w:cs="Arial" w:eastAsia="Arial" w:hAnsi="Arial"/>
                <w:sz w:val="14"/>
                <w:szCs w:val="14"/>
                <w:color w:val="auto"/>
              </w:rPr>
              <w:t>Total minimum lease payments</w:t>
            </w:r>
          </w:p>
        </w:tc>
        <w:tc>
          <w:tcPr>
            <w:tcW w:w="1060" w:type="dxa"/>
            <w:vAlign w:val="bottom"/>
          </w:tcPr>
          <w:p>
            <w:pPr>
              <w:spacing w:after="0"/>
              <w:rPr>
                <w:sz w:val="14"/>
                <w:szCs w:val="14"/>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60.2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1.0</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Imputed interest</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791"/>
              <w:spacing w:after="0"/>
              <w:rPr>
                <w:sz w:val="20"/>
                <w:szCs w:val="20"/>
                <w:color w:val="auto"/>
              </w:rPr>
            </w:pPr>
            <w:r>
              <w:rPr>
                <w:rFonts w:ascii="Arial" w:cs="Arial" w:eastAsia="Arial" w:hAnsi="Arial"/>
                <w:sz w:val="14"/>
                <w:szCs w:val="14"/>
                <w:color w:val="auto"/>
              </w:rPr>
              <w:t>(0.2)</w:t>
            </w:r>
          </w:p>
        </w:tc>
      </w:tr>
      <w:tr>
        <w:trPr>
          <w:trHeight w:val="171"/>
        </w:trPr>
        <w:tc>
          <w:tcPr>
            <w:tcW w:w="7620" w:type="dxa"/>
            <w:vAlign w:val="bottom"/>
          </w:tcPr>
          <w:p>
            <w:pPr>
              <w:ind w:left="300"/>
              <w:spacing w:after="0"/>
              <w:rPr>
                <w:sz w:val="20"/>
                <w:szCs w:val="20"/>
                <w:color w:val="auto"/>
              </w:rPr>
            </w:pPr>
            <w:r>
              <w:rPr>
                <w:rFonts w:ascii="Arial" w:cs="Arial" w:eastAsia="Arial" w:hAnsi="Arial"/>
                <w:sz w:val="14"/>
                <w:szCs w:val="14"/>
                <w:color w:val="auto"/>
              </w:rPr>
              <w:t>Lease liabilities as of April 30, 2026</w:t>
            </w:r>
          </w:p>
        </w:tc>
        <w:tc>
          <w:tcPr>
            <w:tcW w:w="10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center"/>
              <w:ind w:left="811"/>
              <w:spacing w:after="0"/>
              <w:rPr>
                <w:sz w:val="20"/>
                <w:szCs w:val="20"/>
                <w:color w:val="auto"/>
              </w:rPr>
            </w:pPr>
            <w:r>
              <w:rPr>
                <w:rFonts w:ascii="Arial" w:cs="Arial" w:eastAsia="Arial" w:hAnsi="Arial"/>
                <w:sz w:val="14"/>
                <w:szCs w:val="14"/>
                <w:color w:val="auto"/>
              </w:rPr>
              <w:t>0.8</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financing lease right-of-use assets were $0.1 million and $0.1 million for the three months ended April 30, 2026 and 2025, respectively.</w:t>
      </w:r>
    </w:p>
    <w:p>
      <w:pPr>
        <w:spacing w:after="0" w:line="263"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Rental product, net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1"/>
                <w:szCs w:val="11"/>
                <w:b w:val="1"/>
                <w:bCs w:val="1"/>
                <w:color w:val="auto"/>
              </w:rPr>
              <w:t>April 30,</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2026</w:t>
            </w:r>
          </w:p>
        </w:tc>
      </w:tr>
      <w:tr>
        <w:trPr>
          <w:trHeight w:val="150"/>
        </w:trPr>
        <w:tc>
          <w:tcPr>
            <w:tcW w:w="7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Apparel</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Accessories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171"/>
        </w:trPr>
        <w:tc>
          <w:tcPr>
            <w:tcW w:w="7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r>
      <w:tr>
        <w:trPr>
          <w:trHeight w:val="196"/>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Rental product, net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$13.8 million and $13.2 million for the three months ended April 30, 2026 and 2025, respectively.</w:t>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right="9820" w:hanging="375"/>
        <w:spacing w:after="0" w:line="379" w:lineRule="auto"/>
        <w:tabs>
          <w:tab w:leader="none" w:pos="371"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long-term debt outstanding as of April 30, 2026 and January 31, 2026:</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April 30,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2026</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2026</w:t>
            </w:r>
          </w:p>
        </w:tc>
      </w:tr>
      <w:tr>
        <w:trPr>
          <w:trHeight w:val="362"/>
        </w:trPr>
        <w:tc>
          <w:tcPr>
            <w:tcW w:w="7380" w:type="dxa"/>
            <w:vAlign w:val="bottom"/>
          </w:tcPr>
          <w:p>
            <w:pPr>
              <w:ind w:left="200"/>
              <w:spacing w:after="0"/>
              <w:rPr>
                <w:sz w:val="20"/>
                <w:szCs w:val="20"/>
                <w:color w:val="auto"/>
              </w:rPr>
            </w:pPr>
            <w:r>
              <w:rPr>
                <w:rFonts w:ascii="Arial" w:cs="Arial" w:eastAsia="Arial" w:hAnsi="Arial"/>
                <w:sz w:val="14"/>
                <w:szCs w:val="14"/>
                <w:color w:val="auto"/>
              </w:rPr>
              <w:t>Debt Facility principal outstanding</w:t>
            </w:r>
          </w:p>
        </w:tc>
        <w:tc>
          <w:tcPr>
            <w:tcW w:w="960" w:type="dxa"/>
            <w:vAlign w:val="bottom"/>
          </w:tcPr>
          <w:p>
            <w:pPr>
              <w:jc w:val="right"/>
              <w:ind w:right="816"/>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212"/>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 payment-in-kind interest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Add: unamortized debt premium</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r>
      <w:tr>
        <w:trPr>
          <w:trHeight w:val="192"/>
        </w:trPr>
        <w:tc>
          <w:tcPr>
            <w:tcW w:w="7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Facility, net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r>
      <w:tr>
        <w:trPr>
          <w:trHeight w:val="212"/>
        </w:trPr>
        <w:tc>
          <w:tcPr>
            <w:tcW w:w="7380" w:type="dxa"/>
            <w:vAlign w:val="bottom"/>
          </w:tcPr>
          <w:p>
            <w:pPr>
              <w:ind w:left="280"/>
              <w:spacing w:after="0"/>
              <w:rPr>
                <w:sz w:val="20"/>
                <w:szCs w:val="20"/>
                <w:color w:val="auto"/>
              </w:rPr>
            </w:pPr>
            <w:r>
              <w:rPr>
                <w:rFonts w:ascii="Arial" w:cs="Arial" w:eastAsia="Arial" w:hAnsi="Arial"/>
                <w:sz w:val="14"/>
                <w:szCs w:val="14"/>
                <w:color w:val="auto"/>
              </w:rPr>
              <w:t>Less: current portion of long-term debt</w:t>
            </w:r>
          </w:p>
        </w:tc>
        <w:tc>
          <w:tcPr>
            <w:tcW w:w="9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noncurrent long-term debt</w:t>
            </w: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Debt Facility</w:t>
      </w:r>
    </w:p>
    <w:p>
      <w:pPr>
        <w:spacing w:after="0" w:line="189" w:lineRule="exact"/>
        <w:rPr>
          <w:sz w:val="20"/>
          <w:szCs w:val="20"/>
          <w:color w:val="auto"/>
        </w:rPr>
      </w:pPr>
    </w:p>
    <w:p>
      <w:pPr>
        <w:ind w:left="380"/>
        <w:spacing w:after="0" w:line="247" w:lineRule="auto"/>
        <w:rPr>
          <w:sz w:val="20"/>
          <w:szCs w:val="20"/>
          <w:color w:val="auto"/>
        </w:rPr>
      </w:pPr>
      <w:r>
        <w:rPr>
          <w:rFonts w:ascii="Arial" w:cs="Arial" w:eastAsia="Arial" w:hAnsi="Arial"/>
          <w:sz w:val="14"/>
          <w:szCs w:val="14"/>
          <w:color w:val="auto"/>
        </w:rPr>
        <w:t>In December 2023, the Company entered into an amendment to the 2022 Amended Temasek Facility (the “2023 Amended Temasek Facility”). This transaction was accounted for as a troubled debt restructuring. The terms of the amendment provided for (i) elimination of all interest (both payment-in-kind and cash interest) for a period of six full fiscal</w:t>
      </w:r>
    </w:p>
    <w:p>
      <w:pPr>
        <w:spacing w:after="0" w:line="1" w:lineRule="exact"/>
        <w:rPr>
          <w:sz w:val="20"/>
          <w:szCs w:val="20"/>
          <w:color w:val="auto"/>
        </w:rPr>
      </w:pPr>
    </w:p>
    <w:p>
      <w:pPr>
        <w:ind w:left="380" w:right="180"/>
        <w:spacing w:after="0" w:line="229" w:lineRule="auto"/>
        <w:rPr>
          <w:sz w:val="20"/>
          <w:szCs w:val="20"/>
          <w:color w:val="auto"/>
        </w:rPr>
      </w:pPr>
      <w:r>
        <w:rPr>
          <w:rFonts w:ascii="Arial" w:cs="Arial" w:eastAsia="Arial" w:hAnsi="Arial"/>
          <w:sz w:val="14"/>
          <w:szCs w:val="14"/>
          <w:color w:val="auto"/>
        </w:rPr>
        <w:t>quarters beginning with the fourth quarter of fiscal year 2023; (ii) reduction of the minimum liquidity maintenance covenant from $ 50 million to $ 30 million; and (iii) additional covenants requiring the Company to comply with mutually agreed upon quarterly and annual spend levels. The Company did not record a gain in connection with the</w:t>
      </w:r>
    </w:p>
    <w:p>
      <w:pPr>
        <w:ind w:left="380"/>
        <w:spacing w:after="0"/>
        <w:rPr>
          <w:sz w:val="20"/>
          <w:szCs w:val="20"/>
          <w:color w:val="auto"/>
        </w:rPr>
      </w:pPr>
      <w:r>
        <w:rPr>
          <w:rFonts w:ascii="Arial" w:cs="Arial" w:eastAsia="Arial" w:hAnsi="Arial"/>
          <w:sz w:val="14"/>
          <w:szCs w:val="14"/>
          <w:color w:val="auto"/>
        </w:rPr>
        <w:t>restructuring as the total undiscounted future cash payments specified in the 2023 Temasek Facility Amendment exceeded the carrying value of debt.</w:t>
      </w:r>
    </w:p>
    <w:p>
      <w:pPr>
        <w:spacing w:after="0" w:line="175" w:lineRule="exact"/>
        <w:rPr>
          <w:sz w:val="20"/>
          <w:szCs w:val="20"/>
          <w:color w:val="auto"/>
        </w:rPr>
      </w:pPr>
    </w:p>
    <w:p>
      <w:pPr>
        <w:ind w:left="380" w:right="100"/>
        <w:spacing w:after="0" w:line="246" w:lineRule="auto"/>
        <w:rPr>
          <w:sz w:val="20"/>
          <w:szCs w:val="20"/>
          <w:color w:val="auto"/>
        </w:rPr>
      </w:pPr>
      <w:r>
        <w:rPr>
          <w:rFonts w:ascii="Arial" w:cs="Arial" w:eastAsia="Arial" w:hAnsi="Arial"/>
          <w:sz w:val="14"/>
          <w:szCs w:val="14"/>
          <w:color w:val="auto"/>
        </w:rPr>
        <w:t>In July 2025, the Company entered into a Thirteenth Amendment to the 2023 Amended Temasek Facility to extend the due date of the cash interest payment due on August 1, 2025 to August 29, 2025. In August 2025, concurrently with the Exchange Agreement, the Company entered into a Fourteenth Amendment to the Credit Agreement. The Fourteenth Amendment provided that, among other things, (i) interest that would otherwise be payable in cash will be capitalized; and (ii) the liquidity financial covenant level will be reduced from $30 million to $15 million until the closing of the Recapitalization Transactions. The Fourteenth Amendment also eliminated the spend levels for fiscal year 2025.</w:t>
      </w:r>
    </w:p>
    <w:p>
      <w:pPr>
        <w:spacing w:after="0" w:line="246" w:lineRule="exact"/>
        <w:rPr>
          <w:sz w:val="20"/>
          <w:szCs w:val="20"/>
          <w:color w:val="auto"/>
        </w:rPr>
      </w:pPr>
    </w:p>
    <w:p>
      <w:pPr>
        <w:ind w:left="380" w:right="240"/>
        <w:spacing w:after="0" w:line="274" w:lineRule="auto"/>
        <w:rPr>
          <w:sz w:val="20"/>
          <w:szCs w:val="20"/>
          <w:color w:val="auto"/>
        </w:rPr>
      </w:pPr>
      <w:r>
        <w:rPr>
          <w:rFonts w:ascii="Arial" w:cs="Arial" w:eastAsia="Arial" w:hAnsi="Arial"/>
          <w:sz w:val="14"/>
          <w:szCs w:val="14"/>
          <w:color w:val="auto"/>
        </w:rPr>
        <w:t>On October 28, 2025, the Company completed recapitalization transactions to enhance the Company’s financial position and financial flexibility by significantly reducing its existing indebtedness, improving its borrowing rate and extending the maturity of its remaining indebtedness (the “Recapitalization Transactions”).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67" w:lineRule="exact"/>
        <w:rPr>
          <w:sz w:val="20"/>
          <w:szCs w:val="20"/>
          <w:color w:val="auto"/>
        </w:rPr>
      </w:pPr>
    </w:p>
    <w:p>
      <w:pPr>
        <w:ind w:left="380" w:right="120"/>
        <w:spacing w:after="0" w:line="255" w:lineRule="auto"/>
        <w:rPr>
          <w:sz w:val="20"/>
          <w:szCs w:val="20"/>
          <w:color w:val="auto"/>
        </w:rPr>
      </w:pPr>
      <w:r>
        <w:rPr>
          <w:rFonts w:ascii="Arial" w:cs="Arial" w:eastAsia="Arial" w:hAnsi="Arial"/>
          <w:sz w:val="14"/>
          <w:szCs w:val="14"/>
          <w:color w:val="auto"/>
        </w:rPr>
        <w:t>Under the terms of the Recapitalization Transactions, the Company entered into an amended and restated credit agreement, dated as of October 28, 2025 (the “New Credit Agreement”), by and among the Company, as borrower, CHS (US) Management LLC, as administrative agent (the “Agent”), and CHS US Investments LLC (“Lender”), Gateway Runway, LLC (“Nexus”) and S3 RR Aggregator, LLC, as lenders (“STORY3” and, collectively with Lender and Nexus, the “Investor Group”).</w:t>
      </w:r>
    </w:p>
    <w:p>
      <w:pPr>
        <w:spacing w:after="0" w:line="49" w:lineRule="exact"/>
        <w:rPr>
          <w:sz w:val="20"/>
          <w:szCs w:val="20"/>
          <w:color w:val="auto"/>
        </w:rPr>
      </w:pPr>
    </w:p>
    <w:p>
      <w:pPr>
        <w:ind w:left="380" w:right="320"/>
        <w:spacing w:after="0" w:line="249" w:lineRule="auto"/>
        <w:rPr>
          <w:sz w:val="20"/>
          <w:szCs w:val="20"/>
          <w:color w:val="auto"/>
        </w:rPr>
      </w:pPr>
      <w:r>
        <w:rPr>
          <w:rFonts w:ascii="Arial" w:cs="Arial" w:eastAsia="Arial" w:hAnsi="Arial"/>
          <w:sz w:val="14"/>
          <w:szCs w:val="14"/>
          <w:color w:val="auto"/>
        </w:rPr>
        <w:t>On October 28, 2025, Lender exchanged $100 million of existing outstanding indebtedness on a dollar-for-dollar cashless basis for new term loans under the New Credit Agreement and exchanged the remaining indebtedness for 26,175,193 newly issued shares of the Company’s Class A Common Stock, par value $0.001 per share. The Investor Group also provided an additional $20 million of new term loans, resulting in a total aggregate principal amount of $120 million as of the closing of the Recapitalization Transactions.</w:t>
      </w:r>
    </w:p>
    <w:p>
      <w:pPr>
        <w:spacing w:after="0" w:line="43" w:lineRule="exact"/>
        <w:rPr>
          <w:sz w:val="20"/>
          <w:szCs w:val="20"/>
          <w:color w:val="auto"/>
        </w:rPr>
      </w:pPr>
    </w:p>
    <w:p>
      <w:pPr>
        <w:ind w:left="380" w:right="40"/>
        <w:spacing w:after="0" w:line="244" w:lineRule="auto"/>
        <w:rPr>
          <w:sz w:val="20"/>
          <w:szCs w:val="20"/>
          <w:color w:val="auto"/>
        </w:rPr>
      </w:pPr>
      <w:r>
        <w:rPr>
          <w:rFonts w:ascii="Arial" w:cs="Arial" w:eastAsia="Arial" w:hAnsi="Arial"/>
          <w:sz w:val="14"/>
          <w:szCs w:val="14"/>
          <w:color w:val="auto"/>
        </w:rPr>
        <w:t>The New Credit Agreement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Term loans under the New Credit Agreement will mature on October 28, 2029, and will bear interest, at the Company’s option, at either (i) a bank reference rate, plus 4.00% or (ii) term SOFR plus 5.00%, in each case per annum. The New Credit Agreement contains various events of default, the occurrence of which could result in the acceleration of obligations under the facility. The New Credit Agreement also modified the then Existing Credit Agreement in certain respects, including by temporarily reducing the minimum liquidity maintenance covenant from $30 million to $15 million during the period from October 28, 2025 until February 20, 2027, which would revert thereafter to $30 million.</w:t>
      </w:r>
    </w:p>
    <w:p>
      <w:pPr>
        <w:spacing w:after="0" w:line="58" w:lineRule="exact"/>
        <w:rPr>
          <w:sz w:val="20"/>
          <w:szCs w:val="20"/>
          <w:color w:val="auto"/>
        </w:rPr>
      </w:pPr>
    </w:p>
    <w:p>
      <w:pPr>
        <w:ind w:left="380" w:right="200"/>
        <w:spacing w:after="0" w:line="274" w:lineRule="auto"/>
        <w:rPr>
          <w:sz w:val="20"/>
          <w:szCs w:val="20"/>
          <w:color w:val="auto"/>
        </w:rPr>
      </w:pPr>
      <w:r>
        <w:rPr>
          <w:rFonts w:ascii="Arial" w:cs="Arial" w:eastAsia="Arial" w:hAnsi="Arial"/>
          <w:sz w:val="14"/>
          <w:szCs w:val="14"/>
          <w:color w:val="auto"/>
        </w:rPr>
        <w:t>In October 2025, the Company also completed a rights offering and issued an aggregate of 3,063,725 shares of the Company’s Class A Common Stock at a price of $4.08 per share, totaling proceeds of $12.5 million.</w:t>
      </w:r>
    </w:p>
    <w:p>
      <w:pPr>
        <w:spacing w:after="0" w:line="36" w:lineRule="exact"/>
        <w:rPr>
          <w:sz w:val="20"/>
          <w:szCs w:val="20"/>
          <w:color w:val="auto"/>
        </w:rPr>
      </w:pPr>
    </w:p>
    <w:p>
      <w:pPr>
        <w:ind w:left="380" w:right="100"/>
        <w:spacing w:after="0" w:line="274" w:lineRule="auto"/>
        <w:rPr>
          <w:sz w:val="20"/>
          <w:szCs w:val="20"/>
          <w:color w:val="auto"/>
        </w:rPr>
      </w:pPr>
      <w:r>
        <w:rPr>
          <w:rFonts w:ascii="Arial" w:cs="Arial" w:eastAsia="Arial" w:hAnsi="Arial"/>
          <w:sz w:val="14"/>
          <w:szCs w:val="14"/>
          <w:color w:val="auto"/>
        </w:rPr>
        <w:t>For a full description of the Recapitalization Transactions and the Company’s debt facility, see the Company's Annual Report on Form 10-K for the fiscal year ended January 31, 2026.</w:t>
      </w:r>
    </w:p>
    <w:p>
      <w:pPr>
        <w:spacing w:after="0" w:line="142" w:lineRule="exact"/>
        <w:rPr>
          <w:sz w:val="20"/>
          <w:szCs w:val="20"/>
          <w:color w:val="auto"/>
        </w:rPr>
      </w:pPr>
    </w:p>
    <w:p>
      <w:pPr>
        <w:ind w:left="380" w:right="20"/>
        <w:spacing w:after="0" w:line="247" w:lineRule="auto"/>
        <w:rPr>
          <w:sz w:val="20"/>
          <w:szCs w:val="20"/>
          <w:color w:val="auto"/>
        </w:rPr>
      </w:pPr>
      <w:r>
        <w:rPr>
          <w:rFonts w:ascii="Arial" w:cs="Arial" w:eastAsia="Arial" w:hAnsi="Arial"/>
          <w:sz w:val="14"/>
          <w:szCs w:val="14"/>
          <w:color w:val="auto"/>
        </w:rPr>
        <w:t>The exchange transaction with the existing lender was accounted for as a troubled debt restructuring of $334.2 million of existing outstanding debt, excluding the remaining unamortized debt premium and $10.0 million of additional cash from the Lender, in exchange for $110.0 million of new term loans. The Company exchanged $234.2 million of</w:t>
      </w:r>
    </w:p>
    <w:p>
      <w:pPr>
        <w:spacing w:after="0" w:line="1" w:lineRule="exact"/>
        <w:rPr>
          <w:sz w:val="20"/>
          <w:szCs w:val="20"/>
          <w:color w:val="auto"/>
        </w:rPr>
      </w:pPr>
    </w:p>
    <w:p>
      <w:pPr>
        <w:ind w:left="380" w:right="60"/>
        <w:spacing w:after="0" w:line="229" w:lineRule="auto"/>
        <w:rPr>
          <w:sz w:val="20"/>
          <w:szCs w:val="20"/>
          <w:color w:val="auto"/>
        </w:rPr>
      </w:pPr>
      <w:r>
        <w:rPr>
          <w:rFonts w:ascii="Arial" w:cs="Arial" w:eastAsia="Arial" w:hAnsi="Arial"/>
          <w:sz w:val="14"/>
          <w:szCs w:val="14"/>
          <w:color w:val="auto"/>
        </w:rPr>
        <w:t>existing indebtedness for 26,175,193 newly issued shares of the Company’s Class A Common Stock to the lender. As the carrying value of debt reduced by the fair value of the equity issued exceeded the total undiscounted future cash payments, the Company recognized a gain on troubled debt restructuring, net of allocated transaction costs of</w:t>
      </w:r>
    </w:p>
    <w:p>
      <w:pPr>
        <w:ind w:left="380" w:right="500"/>
        <w:spacing w:after="0" w:line="253" w:lineRule="auto"/>
        <w:rPr>
          <w:sz w:val="20"/>
          <w:szCs w:val="20"/>
          <w:color w:val="auto"/>
        </w:rPr>
      </w:pPr>
      <w:r>
        <w:rPr>
          <w:rFonts w:ascii="Arial" w:cs="Arial" w:eastAsia="Arial" w:hAnsi="Arial"/>
          <w:sz w:val="14"/>
          <w:szCs w:val="14"/>
          <w:color w:val="auto"/>
        </w:rPr>
        <w:t>$11.8 million incurred, of $96.3 million during the year ended January 31, 2026. The gain was reflected in Gain on Debt Restructuring on the Company’s Consolidated Statements of Operations.</w:t>
      </w:r>
    </w:p>
    <w:p>
      <w:pPr>
        <w:spacing w:after="0" w:line="166" w:lineRule="exact"/>
        <w:rPr>
          <w:sz w:val="20"/>
          <w:szCs w:val="20"/>
          <w:color w:val="auto"/>
        </w:rPr>
      </w:pPr>
    </w:p>
    <w:p>
      <w:pPr>
        <w:ind w:left="380" w:right="180"/>
        <w:spacing w:after="0" w:line="263" w:lineRule="auto"/>
        <w:rPr>
          <w:sz w:val="20"/>
          <w:szCs w:val="20"/>
          <w:color w:val="auto"/>
        </w:rPr>
      </w:pPr>
      <w:r>
        <w:rPr>
          <w:rFonts w:ascii="Arial" w:cs="Arial" w:eastAsia="Arial" w:hAnsi="Arial"/>
          <w:sz w:val="14"/>
          <w:szCs w:val="14"/>
          <w:color w:val="auto"/>
        </w:rPr>
        <w:t>Upon completion of the exchange transaction, the carrying value of the new term loans with the Lender was $ 149.5 million, comprised of the total future undiscounted cash payments to the Lender. The Company recorded a debt premium as a result of the troubled debt restructuring of $39.5 million which will be amortized over the term of the loan.</w:t>
      </w:r>
    </w:p>
    <w:p>
      <w:pPr>
        <w:spacing w:after="0" w:line="150" w:lineRule="exact"/>
        <w:rPr>
          <w:sz w:val="20"/>
          <w:szCs w:val="20"/>
          <w:color w:val="auto"/>
        </w:rPr>
      </w:pPr>
    </w:p>
    <w:p>
      <w:pPr>
        <w:ind w:left="380"/>
        <w:spacing w:after="0" w:line="263" w:lineRule="auto"/>
        <w:rPr>
          <w:sz w:val="20"/>
          <w:szCs w:val="20"/>
          <w:color w:val="auto"/>
        </w:rPr>
      </w:pPr>
      <w:r>
        <w:rPr>
          <w:rFonts w:ascii="Arial" w:cs="Arial" w:eastAsia="Arial" w:hAnsi="Arial"/>
          <w:sz w:val="14"/>
          <w:szCs w:val="14"/>
          <w:color w:val="auto"/>
        </w:rPr>
        <w:t>The Company accounted for the $10.0 million of new term loans issued to Nexus and STORY3 as a new issuance of debt and recorded a debt discount of $0.4 million related to allocated issuance costs. The debt discount will be accreted to the principal amount of the debt through the recognition of noncash interest expense using the effective interest method. The effective interest rate of the debt facility as of January 31, 2026 was 9.83%.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83" w:lineRule="exact"/>
        <w:rPr>
          <w:sz w:val="20"/>
          <w:szCs w:val="20"/>
          <w:color w:val="auto"/>
        </w:rPr>
      </w:pPr>
    </w:p>
    <w:p>
      <w:pPr>
        <w:ind w:left="380" w:right="60"/>
        <w:spacing w:after="0" w:line="244" w:lineRule="auto"/>
        <w:rPr>
          <w:sz w:val="20"/>
          <w:szCs w:val="20"/>
          <w:color w:val="auto"/>
        </w:rPr>
      </w:pPr>
      <w:r>
        <w:rPr>
          <w:rFonts w:ascii="Arial" w:cs="Arial" w:eastAsia="Arial" w:hAnsi="Arial"/>
          <w:sz w:val="14"/>
          <w:szCs w:val="14"/>
          <w:color w:val="auto"/>
        </w:rPr>
        <w:t>On January 28, 2026, the Company entered into the First Amendment to the New Credit Agreement. The First Amendment removed the minimum liquidity maintenance covenant. On April 1, 2026, the Company entered into the Second Amendment to the New Credit Agreement. The Second Amendment provides the Company with the ability to capitalize interest in lieu of cash payments until May 3, 2027. Pursuant to the Second Amendment, from April 1, 2026 to May 3, 2027, interest payable on the term loans under the New Credit Agreement will be capitalized and added to the principal amount of the term loan outstanding at the end of each fiscal quarter. This transaction was accounted for as a debt modification. The effective interest rate of the new term loans issued to the Lender as of April 30, 2026 was 0.48%. The effective interest rate of the new term loans issued to Nexus and STORY3 as of April 30, 2026 was 9.63%.</w:t>
      </w:r>
    </w:p>
    <w:p>
      <w:pPr>
        <w:spacing w:after="0" w:line="143" w:lineRule="exact"/>
        <w:rPr>
          <w:sz w:val="20"/>
          <w:szCs w:val="20"/>
          <w:color w:val="auto"/>
        </w:rPr>
      </w:pPr>
    </w:p>
    <w:p>
      <w:pPr>
        <w:ind w:left="380" w:right="40"/>
        <w:spacing w:after="0" w:line="258" w:lineRule="auto"/>
        <w:rPr>
          <w:sz w:val="20"/>
          <w:szCs w:val="20"/>
          <w:color w:val="auto"/>
        </w:rPr>
      </w:pPr>
      <w:r>
        <w:rPr>
          <w:rFonts w:ascii="Arial" w:cs="Arial" w:eastAsia="Arial" w:hAnsi="Arial"/>
          <w:sz w:val="14"/>
          <w:szCs w:val="14"/>
          <w:color w:val="auto"/>
        </w:rPr>
        <w:t>The Company determined that all of the embedded features of the New Credit Agreement were clearly and closely related to the debt host and did not require bifurcation as a derivative liability, or the fair value of the feature was immaterial to the Company’s condensed consolidated financial statements.</w:t>
      </w:r>
    </w:p>
    <w:p>
      <w:pPr>
        <w:spacing w:after="0" w:line="227"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84" w:lineRule="exact"/>
        <w:rPr>
          <w:rFonts w:ascii="Arial" w:cs="Arial" w:eastAsia="Arial" w:hAnsi="Arial"/>
          <w:sz w:val="14"/>
          <w:szCs w:val="14"/>
          <w:b w:val="1"/>
          <w:bCs w:val="1"/>
          <w:color w:val="auto"/>
        </w:rPr>
      </w:pPr>
    </w:p>
    <w:p>
      <w:pPr>
        <w:ind w:left="380" w:right="1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52"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continues to maintain a full valuation allowance on all United States net deferred tax assets for all periods presented.</w:t>
      </w:r>
    </w:p>
    <w:p>
      <w:pPr>
        <w:spacing w:after="0" w:line="93" w:lineRule="exact"/>
        <w:rPr>
          <w:rFonts w:ascii="Arial" w:cs="Arial" w:eastAsia="Arial" w:hAnsi="Arial"/>
          <w:sz w:val="14"/>
          <w:szCs w:val="14"/>
          <w:b w:val="1"/>
          <w:bCs w:val="1"/>
          <w:color w:val="auto"/>
        </w:rPr>
      </w:pPr>
    </w:p>
    <w:p>
      <w:pPr>
        <w:ind w:left="380"/>
        <w:spacing w:after="0" w:line="268" w:lineRule="auto"/>
        <w:rPr>
          <w:rFonts w:ascii="Arial" w:cs="Arial" w:eastAsia="Arial" w:hAnsi="Arial"/>
          <w:sz w:val="14"/>
          <w:szCs w:val="14"/>
          <w:b w:val="1"/>
          <w:bCs w:val="1"/>
          <w:color w:val="auto"/>
        </w:rPr>
      </w:pPr>
      <w:r>
        <w:rPr>
          <w:rFonts w:ascii="Arial" w:cs="Arial" w:eastAsia="Arial" w:hAnsi="Arial"/>
          <w:sz w:val="14"/>
          <w:szCs w:val="14"/>
          <w:color w:val="auto"/>
        </w:rPr>
        <w:t>The amount of unrecognized tax benefits as of April 30, 2026 and January 31, 2026 was $1.1 million and $1.1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16"/>
          <w:szCs w:val="16"/>
          <w:color w:val="auto"/>
        </w:rPr>
        <w:t>.</w:t>
      </w:r>
    </w:p>
    <w:p>
      <w:pPr>
        <w:spacing w:after="0" w:line="221" w:lineRule="exact"/>
        <w:rPr>
          <w:rFonts w:ascii="Arial" w:cs="Arial" w:eastAsia="Arial" w:hAnsi="Arial"/>
          <w:sz w:val="14"/>
          <w:szCs w:val="14"/>
          <w:b w:val="1"/>
          <w:bCs w:val="1"/>
          <w:color w:val="auto"/>
        </w:rPr>
      </w:pPr>
    </w:p>
    <w:p>
      <w:pPr>
        <w:ind w:left="380" w:hanging="375"/>
        <w:spacing w:after="0"/>
        <w:tabs>
          <w:tab w:leader="none" w:pos="3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Accrued expenses and other current liabilities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40" w:type="dxa"/>
            <w:vAlign w:val="bottom"/>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April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40" w:type="dxa"/>
            <w:vAlign w:val="bottom"/>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rPr>
              <w:t>2026</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2026</w:t>
            </w:r>
          </w:p>
        </w:tc>
      </w:tr>
      <w:tr>
        <w:trPr>
          <w:trHeight w:val="193"/>
        </w:trPr>
        <w:tc>
          <w:tcPr>
            <w:tcW w:w="7340" w:type="dxa"/>
            <w:vAlign w:val="bottom"/>
          </w:tcPr>
          <w:p>
            <w:pPr>
              <w:ind w:left="20"/>
              <w:spacing w:after="0"/>
              <w:rPr>
                <w:sz w:val="20"/>
                <w:szCs w:val="20"/>
                <w:color w:val="auto"/>
              </w:rPr>
            </w:pPr>
            <w:r>
              <w:rPr>
                <w:rFonts w:ascii="Arial" w:cs="Arial" w:eastAsia="Arial" w:hAnsi="Arial"/>
                <w:sz w:val="14"/>
                <w:szCs w:val="14"/>
                <w:color w:val="auto"/>
              </w:rPr>
              <w:t>Revenue share payable</w:t>
            </w:r>
          </w:p>
        </w:tc>
        <w:tc>
          <w:tcPr>
            <w:tcW w:w="1020" w:type="dxa"/>
            <w:vAlign w:val="bottom"/>
          </w:tcPr>
          <w:p>
            <w:pPr>
              <w:jc w:val="right"/>
              <w:ind w:right="856"/>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operating and general expenses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212"/>
        </w:trPr>
        <w:tc>
          <w:tcPr>
            <w:tcW w:w="7340" w:type="dxa"/>
            <w:vAlign w:val="bottom"/>
          </w:tcPr>
          <w:p>
            <w:pPr>
              <w:ind w:left="20"/>
              <w:spacing w:after="0"/>
              <w:rPr>
                <w:sz w:val="20"/>
                <w:szCs w:val="20"/>
                <w:color w:val="auto"/>
              </w:rPr>
            </w:pPr>
            <w:r>
              <w:rPr>
                <w:rFonts w:ascii="Arial" w:cs="Arial" w:eastAsia="Arial" w:hAnsi="Arial"/>
                <w:sz w:val="14"/>
                <w:szCs w:val="14"/>
                <w:color w:val="auto"/>
              </w:rPr>
              <w:t>Accrued payroll related expenses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12"/>
        </w:trPr>
        <w:tc>
          <w:tcPr>
            <w:tcW w:w="7340" w:type="dxa"/>
            <w:vAlign w:val="bottom"/>
          </w:tcPr>
          <w:p>
            <w:pPr>
              <w:ind w:left="20"/>
              <w:spacing w:after="0"/>
              <w:rPr>
                <w:sz w:val="20"/>
                <w:szCs w:val="20"/>
                <w:color w:val="auto"/>
              </w:rPr>
            </w:pPr>
            <w:r>
              <w:rPr>
                <w:rFonts w:ascii="Arial" w:cs="Arial" w:eastAsia="Arial" w:hAnsi="Arial"/>
                <w:sz w:val="14"/>
                <w:szCs w:val="14"/>
                <w:color w:val="auto"/>
              </w:rPr>
              <w:t>Sales and other taxes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financing</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71"/>
        </w:trPr>
        <w:tc>
          <w:tcPr>
            <w:tcW w:w="7340" w:type="dxa"/>
            <w:vAlign w:val="bottom"/>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10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r>
      <w:tr>
        <w:trPr>
          <w:trHeight w:val="20"/>
        </w:trPr>
        <w:tc>
          <w:tcPr>
            <w:tcW w:w="7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borrowing rate for the short-term financing obligation was 8.00% as of April 30, 2026 and January 31, 2026,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ind w:left="380" w:hanging="375"/>
        <w:spacing w:after="0"/>
        <w:tabs>
          <w:tab w:leader="none" w:pos="3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78" w:lineRule="exact"/>
        <w:rPr>
          <w:rFonts w:ascii="Arial" w:cs="Arial" w:eastAsia="Arial" w:hAnsi="Arial"/>
          <w:sz w:val="14"/>
          <w:szCs w:val="14"/>
          <w:b w:val="1"/>
          <w:bCs w:val="1"/>
          <w:color w:val="auto"/>
        </w:rPr>
      </w:pPr>
    </w:p>
    <w:p>
      <w:pPr>
        <w:ind w:left="3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April 30, 2026 and January 31, 2026,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35" w:lineRule="exact"/>
        <w:rPr>
          <w:rFonts w:ascii="Arial" w:cs="Arial" w:eastAsia="Arial" w:hAnsi="Arial"/>
          <w:sz w:val="14"/>
          <w:szCs w:val="14"/>
          <w:b w:val="1"/>
          <w:bCs w:val="1"/>
          <w:color w:val="auto"/>
        </w:rPr>
      </w:pPr>
    </w:p>
    <w:p>
      <w:pPr>
        <w:ind w:left="3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Condensed Consolidated Balance Sheets. See “Note 6 — Long-Term Debt”. The Company estimates the fair value of its long-term debt using a Black-Derman-Toy (BDT) model based on the Company’s implied credit spread using the median of option adjusted spreads for similar financial instruments with similar credit ratings, and, as such, long-term debt is classified as Level 3 within the fair value hierarchy. As of April 30, 2026, the estimated fair value of the Company’s long-term debt was $117.9 million.</w:t>
      </w:r>
    </w:p>
    <w:p>
      <w:pPr>
        <w:spacing w:after="0" w:line="222" w:lineRule="exact"/>
        <w:rPr>
          <w:rFonts w:ascii="Arial" w:cs="Arial" w:eastAsia="Arial" w:hAnsi="Arial"/>
          <w:sz w:val="14"/>
          <w:szCs w:val="14"/>
          <w:b w:val="1"/>
          <w:bCs w:val="1"/>
          <w:color w:val="auto"/>
        </w:rPr>
      </w:pPr>
    </w:p>
    <w:p>
      <w:pPr>
        <w:ind w:left="380" w:hanging="375"/>
        <w:spacing w:after="0"/>
        <w:tabs>
          <w:tab w:leader="none" w:pos="3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86"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ATM Offering</w:t>
      </w:r>
    </w:p>
    <w:p>
      <w:pPr>
        <w:spacing w:after="0" w:line="197" w:lineRule="exact"/>
        <w:rPr>
          <w:rFonts w:ascii="Arial" w:cs="Arial" w:eastAsia="Arial" w:hAnsi="Arial"/>
          <w:sz w:val="14"/>
          <w:szCs w:val="14"/>
          <w:b w:val="1"/>
          <w:bCs w:val="1"/>
          <w:color w:val="auto"/>
        </w:rPr>
      </w:pPr>
    </w:p>
    <w:p>
      <w:pPr>
        <w:ind w:left="3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On April 15, 2026, the Company entered into an at-the-market sales agreement for the sale of shares of the Company’s Class A common stock (the “ATM offering”). During the three months ended April 30, 2026, the Company sold 45,358 shares of Class A common stock at a weighted average price of $5.52 per share for proceeds of $0.2 million, net of commissions of 3% and allocated equity issuance costs. The Company may sell shares up to an aggregate offering price of $40 million. As of the date of this Form 10-Q, our public float was less than $75 million. As a result, we are subject to the limitations of General Instruction I.B.6 to Form S-3 until such time as our public float exceeds $75 million, which means we only have the capacity to sell shares up to one-third of our public float under our registration statement on Form S-3, including the ATM offering, in any 12-month period.</w:t>
      </w:r>
    </w:p>
    <w:p>
      <w:pPr>
        <w:spacing w:after="0" w:line="165"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Rights Offering</w:t>
      </w:r>
    </w:p>
    <w:p>
      <w:pPr>
        <w:spacing w:after="0" w:line="197"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See “Note 6 - Long-Term Debt” and “Note 12 - Net Loss per Share Attributable to Common Stockholders” for information regarding the rights offering.</w:t>
      </w:r>
    </w:p>
    <w:p>
      <w:pPr>
        <w:spacing w:after="0" w:line="95"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Common Stock</w:t>
      </w:r>
    </w:p>
    <w:p>
      <w:pPr>
        <w:spacing w:after="0" w:line="91" w:lineRule="exact"/>
        <w:rPr>
          <w:rFonts w:ascii="Arial" w:cs="Arial" w:eastAsia="Arial" w:hAnsi="Arial"/>
          <w:sz w:val="14"/>
          <w:szCs w:val="14"/>
          <w:b w:val="1"/>
          <w:bCs w:val="1"/>
          <w:color w:val="auto"/>
        </w:rPr>
      </w:pPr>
    </w:p>
    <w:p>
      <w:pPr>
        <w:ind w:left="380" w:right="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and, upon liquidation, dissolution, winding up or other liquidation event of the Company, all assets available for distribution to common stockholders. There are no redemption provisions with respect to common stock.</w:t>
      </w:r>
    </w:p>
    <w:p>
      <w:pPr>
        <w:spacing w:after="0" w:line="154" w:lineRule="exact"/>
        <w:rPr>
          <w:rFonts w:ascii="Arial" w:cs="Arial" w:eastAsia="Arial" w:hAnsi="Arial"/>
          <w:sz w:val="14"/>
          <w:szCs w:val="14"/>
          <w:b w:val="1"/>
          <w:bCs w:val="1"/>
          <w:color w:val="auto"/>
        </w:rPr>
      </w:pPr>
    </w:p>
    <w:p>
      <w:pPr>
        <w:ind w:left="380" w:right="20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In connection with the closing of the Recapitalization Transactions, all outstanding shares of the Company’s Class B common stock were converted into shares of Class A common stock on a one-for-one basis, such that no shares of Class B common stock remain outstanding. See “Note 6 - Long-Term Debt” and “Note 11 — Share-based Compensation Plans” in the Notes to the Condensed Consolidated Financial Statements for more information.</w:t>
      </w:r>
    </w:p>
    <w:p>
      <w:pPr>
        <w:spacing w:after="0" w:line="24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Preferred Stock</w:t>
      </w:r>
    </w:p>
    <w:p>
      <w:pPr>
        <w:spacing w:after="0" w:line="91"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has authorized 10,000,000 shares of preferred stock, with a par value of $0.001 per share. No shares were issued or outstanding as of April 30, 2026.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8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April 30, 2026 and January 31, 2026, the Company had the following outstanding warrants: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2740" w:type="dxa"/>
            <w:vAlign w:val="bottom"/>
          </w:tcPr>
          <w:p>
            <w:pPr>
              <w:spacing w:after="0"/>
              <w:rPr>
                <w:sz w:val="11"/>
                <w:szCs w:val="11"/>
                <w:color w:val="auto"/>
              </w:rPr>
            </w:pPr>
          </w:p>
        </w:tc>
        <w:tc>
          <w:tcPr>
            <w:tcW w:w="1420" w:type="dxa"/>
            <w:vAlign w:val="bottom"/>
            <w:gridSpan w:val="2"/>
          </w:tcPr>
          <w:p>
            <w:pPr>
              <w:jc w:val="center"/>
              <w:ind w:left="158"/>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jc w:val="right"/>
              <w:ind w:right="217"/>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Class of</w:t>
            </w:r>
          </w:p>
        </w:tc>
        <w:tc>
          <w:tcPr>
            <w:tcW w:w="120" w:type="dxa"/>
            <w:vAlign w:val="bottom"/>
          </w:tcPr>
          <w:p>
            <w:pPr>
              <w:spacing w:after="0"/>
              <w:rPr>
                <w:sz w:val="11"/>
                <w:szCs w:val="11"/>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Exercise</w:t>
            </w:r>
          </w:p>
        </w:tc>
        <w:tc>
          <w:tcPr>
            <w:tcW w:w="160" w:type="dxa"/>
            <w:vAlign w:val="bottom"/>
          </w:tcPr>
          <w:p>
            <w:pPr>
              <w:spacing w:after="0"/>
              <w:rPr>
                <w:sz w:val="11"/>
                <w:szCs w:val="11"/>
                <w:color w:val="auto"/>
              </w:rPr>
            </w:pPr>
          </w:p>
        </w:tc>
        <w:tc>
          <w:tcPr>
            <w:tcW w:w="980" w:type="dxa"/>
            <w:vAlign w:val="bottom"/>
          </w:tcPr>
          <w:p>
            <w:pPr>
              <w:jc w:val="right"/>
              <w:ind w:right="257"/>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65"/>
        </w:trPr>
        <w:tc>
          <w:tcPr>
            <w:tcW w:w="2740" w:type="dxa"/>
            <w:vAlign w:val="bottom"/>
          </w:tcPr>
          <w:p>
            <w:pPr>
              <w:ind w:left="940"/>
              <w:spacing w:after="0"/>
              <w:rPr>
                <w:sz w:val="20"/>
                <w:szCs w:val="20"/>
                <w:color w:val="auto"/>
              </w:rPr>
            </w:pPr>
            <w:r>
              <w:rPr>
                <w:rFonts w:ascii="Arial" w:cs="Arial" w:eastAsia="Arial" w:hAnsi="Arial"/>
                <w:sz w:val="11"/>
                <w:szCs w:val="11"/>
                <w:b w:val="1"/>
                <w:bCs w:val="1"/>
                <w:color w:val="auto"/>
              </w:rPr>
              <w:t>Outstanding Warrants</w:t>
            </w:r>
          </w:p>
        </w:tc>
        <w:tc>
          <w:tcPr>
            <w:tcW w:w="1420" w:type="dxa"/>
            <w:vAlign w:val="bottom"/>
            <w:gridSpan w:val="2"/>
          </w:tcPr>
          <w:p>
            <w:pPr>
              <w:jc w:val="center"/>
              <w:ind w:left="158"/>
              <w:spacing w:after="0"/>
              <w:rPr>
                <w:sz w:val="20"/>
                <w:szCs w:val="20"/>
                <w:color w:val="auto"/>
              </w:rPr>
            </w:pPr>
            <w:r>
              <w:rPr>
                <w:rFonts w:ascii="Arial" w:cs="Arial" w:eastAsia="Arial" w:hAnsi="Arial"/>
                <w:sz w:val="11"/>
                <w:szCs w:val="11"/>
                <w:b w:val="1"/>
                <w:bCs w:val="1"/>
                <w:color w:val="auto"/>
              </w:rPr>
              <w:t>Issued</w:t>
            </w:r>
          </w:p>
        </w:tc>
        <w:tc>
          <w:tcPr>
            <w:tcW w:w="1120" w:type="dxa"/>
            <w:vAlign w:val="bottom"/>
          </w:tcPr>
          <w:p>
            <w:pPr>
              <w:jc w:val="right"/>
              <w:ind w:right="317"/>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Price (Per Warrant)</w:t>
            </w:r>
          </w:p>
        </w:tc>
        <w:tc>
          <w:tcPr>
            <w:tcW w:w="160" w:type="dxa"/>
            <w:vAlign w:val="bottom"/>
          </w:tcPr>
          <w:p>
            <w:pPr>
              <w:spacing w:after="0"/>
              <w:rPr>
                <w:sz w:val="14"/>
                <w:szCs w:val="14"/>
                <w:color w:val="auto"/>
              </w:rPr>
            </w:pPr>
          </w:p>
        </w:tc>
        <w:tc>
          <w:tcPr>
            <w:tcW w:w="980" w:type="dxa"/>
            <w:vAlign w:val="bottom"/>
          </w:tcPr>
          <w:p>
            <w:pPr>
              <w:jc w:val="right"/>
              <w:ind w:right="197"/>
              <w:spacing w:after="0"/>
              <w:rPr>
                <w:sz w:val="20"/>
                <w:szCs w:val="20"/>
                <w:color w:val="auto"/>
              </w:rPr>
            </w:pPr>
            <w:r>
              <w:rPr>
                <w:rFonts w:ascii="Arial" w:cs="Arial" w:eastAsia="Arial" w:hAnsi="Arial"/>
                <w:sz w:val="11"/>
                <w:szCs w:val="11"/>
                <w:b w:val="1"/>
                <w:bCs w:val="1"/>
                <w:color w:val="auto"/>
              </w:rPr>
              <w:t>at Issuance</w:t>
            </w:r>
          </w:p>
        </w:tc>
        <w:tc>
          <w:tcPr>
            <w:tcW w:w="80" w:type="dxa"/>
            <w:vAlign w:val="bottom"/>
          </w:tcPr>
          <w:p>
            <w:pPr>
              <w:spacing w:after="0"/>
              <w:rPr>
                <w:sz w:val="14"/>
                <w:szCs w:val="14"/>
                <w:color w:val="auto"/>
              </w:rPr>
            </w:pPr>
          </w:p>
        </w:tc>
        <w:tc>
          <w:tcPr>
            <w:tcW w:w="1100" w:type="dxa"/>
            <w:vAlign w:val="bottom"/>
          </w:tcPr>
          <w:p>
            <w:pPr>
              <w:jc w:val="right"/>
              <w:ind w:right="77"/>
              <w:spacing w:after="0"/>
              <w:rPr>
                <w:sz w:val="20"/>
                <w:szCs w:val="20"/>
                <w:color w:val="auto"/>
              </w:rPr>
            </w:pPr>
            <w:r>
              <w:rPr>
                <w:rFonts w:ascii="Arial" w:cs="Arial" w:eastAsia="Arial" w:hAnsi="Arial"/>
                <w:sz w:val="11"/>
                <w:szCs w:val="11"/>
                <w:b w:val="1"/>
                <w:bCs w:val="1"/>
                <w:color w:val="auto"/>
              </w:rPr>
              <w:t>Expiration Date</w:t>
            </w:r>
          </w:p>
        </w:tc>
      </w:tr>
      <w:tr>
        <w:trPr>
          <w:trHeight w:val="182"/>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Equity classified:</w:t>
            </w: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90"/>
        </w:trPr>
        <w:tc>
          <w:tcPr>
            <w:tcW w:w="2740" w:type="dxa"/>
            <w:vAlign w:val="bottom"/>
          </w:tcPr>
          <w:p>
            <w:pPr>
              <w:ind w:left="20"/>
              <w:spacing w:after="0"/>
              <w:rPr>
                <w:sz w:val="20"/>
                <w:szCs w:val="20"/>
                <w:color w:val="auto"/>
              </w:rPr>
            </w:pPr>
            <w:r>
              <w:rPr>
                <w:rFonts w:ascii="Arial" w:cs="Arial" w:eastAsia="Arial" w:hAnsi="Arial"/>
                <w:sz w:val="13"/>
                <w:szCs w:val="13"/>
                <w:color w:val="auto"/>
              </w:rPr>
              <w:t>TriplePoint</w:t>
            </w:r>
          </w:p>
        </w:tc>
        <w:tc>
          <w:tcPr>
            <w:tcW w:w="1420" w:type="dxa"/>
            <w:vAlign w:val="bottom"/>
            <w:gridSpan w:val="2"/>
          </w:tcPr>
          <w:p>
            <w:pPr>
              <w:jc w:val="center"/>
              <w:ind w:left="158"/>
              <w:spacing w:after="0"/>
              <w:rPr>
                <w:sz w:val="20"/>
                <w:szCs w:val="20"/>
                <w:color w:val="auto"/>
              </w:rPr>
            </w:pPr>
            <w:r>
              <w:rPr>
                <w:rFonts w:ascii="Arial" w:cs="Arial" w:eastAsia="Arial" w:hAnsi="Arial"/>
                <w:sz w:val="13"/>
                <w:szCs w:val="13"/>
                <w:color w:val="auto"/>
                <w:w w:val="95"/>
              </w:rPr>
              <w:t>Nov-16</w:t>
            </w:r>
          </w:p>
        </w:tc>
        <w:tc>
          <w:tcPr>
            <w:tcW w:w="1120" w:type="dxa"/>
            <w:vAlign w:val="bottom"/>
          </w:tcPr>
          <w:p>
            <w:pPr>
              <w:jc w:val="right"/>
              <w:spacing w:after="0"/>
              <w:rPr>
                <w:sz w:val="20"/>
                <w:szCs w:val="20"/>
                <w:color w:val="auto"/>
              </w:rPr>
            </w:pPr>
            <w:r>
              <w:rPr>
                <w:rFonts w:ascii="Arial" w:cs="Arial" w:eastAsia="Arial" w:hAnsi="Arial"/>
                <w:sz w:val="13"/>
                <w:szCs w:val="13"/>
                <w:color w:val="auto"/>
              </w:rPr>
              <w:t>4,144</w:t>
            </w:r>
          </w:p>
        </w:tc>
        <w:tc>
          <w:tcPr>
            <w:tcW w:w="8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150.80</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Oct-26</w:t>
            </w: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TriplePoint</w:t>
            </w:r>
          </w:p>
        </w:tc>
        <w:tc>
          <w:tcPr>
            <w:tcW w:w="1420" w:type="dxa"/>
            <w:vAlign w:val="bottom"/>
            <w:gridSpan w:val="2"/>
            <w:shd w:val="clear" w:color="auto" w:fill="CCEEFF"/>
          </w:tcPr>
          <w:p>
            <w:pPr>
              <w:jc w:val="center"/>
              <w:ind w:left="158"/>
              <w:spacing w:after="0"/>
              <w:rPr>
                <w:sz w:val="20"/>
                <w:szCs w:val="20"/>
                <w:color w:val="auto"/>
              </w:rPr>
            </w:pPr>
            <w:r>
              <w:rPr>
                <w:rFonts w:ascii="Arial" w:cs="Arial" w:eastAsia="Arial" w:hAnsi="Arial"/>
                <w:sz w:val="13"/>
                <w:szCs w:val="13"/>
                <w:color w:val="auto"/>
              </w:rPr>
              <w:t>Jun-17</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Oct-26</w:t>
            </w:r>
          </w:p>
        </w:tc>
      </w:tr>
      <w:tr>
        <w:trPr>
          <w:trHeight w:val="190"/>
        </w:trPr>
        <w:tc>
          <w:tcPr>
            <w:tcW w:w="2740" w:type="dxa"/>
            <w:vAlign w:val="bottom"/>
          </w:tcPr>
          <w:p>
            <w:pPr>
              <w:ind w:left="20"/>
              <w:spacing w:after="0"/>
              <w:rPr>
                <w:sz w:val="20"/>
                <w:szCs w:val="20"/>
                <w:color w:val="auto"/>
              </w:rPr>
            </w:pPr>
            <w:r>
              <w:rPr>
                <w:rFonts w:ascii="Arial" w:cs="Arial" w:eastAsia="Arial" w:hAnsi="Arial"/>
                <w:sz w:val="13"/>
                <w:szCs w:val="13"/>
                <w:color w:val="auto"/>
              </w:rPr>
              <w:t>TriplePoint</w:t>
            </w:r>
          </w:p>
        </w:tc>
        <w:tc>
          <w:tcPr>
            <w:tcW w:w="1420" w:type="dxa"/>
            <w:vAlign w:val="bottom"/>
            <w:gridSpan w:val="2"/>
          </w:tcPr>
          <w:p>
            <w:pPr>
              <w:jc w:val="center"/>
              <w:ind w:left="158"/>
              <w:spacing w:after="0"/>
              <w:rPr>
                <w:sz w:val="20"/>
                <w:szCs w:val="20"/>
                <w:color w:val="auto"/>
              </w:rPr>
            </w:pPr>
            <w:r>
              <w:rPr>
                <w:rFonts w:ascii="Arial" w:cs="Arial" w:eastAsia="Arial" w:hAnsi="Arial"/>
                <w:sz w:val="13"/>
                <w:szCs w:val="13"/>
                <w:color w:val="auto"/>
                <w:w w:val="95"/>
              </w:rPr>
              <w:t>Sep-17</w:t>
            </w:r>
          </w:p>
        </w:tc>
        <w:tc>
          <w:tcPr>
            <w:tcW w:w="1120" w:type="dxa"/>
            <w:vAlign w:val="bottom"/>
          </w:tcPr>
          <w:p>
            <w:pPr>
              <w:jc w:val="right"/>
              <w:spacing w:after="0"/>
              <w:rPr>
                <w:sz w:val="20"/>
                <w:szCs w:val="20"/>
                <w:color w:val="auto"/>
              </w:rPr>
            </w:pPr>
            <w:r>
              <w:rPr>
                <w:rFonts w:ascii="Arial" w:cs="Arial" w:eastAsia="Arial" w:hAnsi="Arial"/>
                <w:sz w:val="13"/>
                <w:szCs w:val="13"/>
                <w:color w:val="auto"/>
              </w:rPr>
              <w:t>746</w:t>
            </w:r>
          </w:p>
        </w:tc>
        <w:tc>
          <w:tcPr>
            <w:tcW w:w="8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150.80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Oct-26</w:t>
            </w: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TriplePoint</w:t>
            </w:r>
          </w:p>
        </w:tc>
        <w:tc>
          <w:tcPr>
            <w:tcW w:w="1420" w:type="dxa"/>
            <w:vAlign w:val="bottom"/>
            <w:gridSpan w:val="2"/>
            <w:shd w:val="clear" w:color="auto" w:fill="CCEEFF"/>
          </w:tcPr>
          <w:p>
            <w:pPr>
              <w:jc w:val="center"/>
              <w:ind w:left="158"/>
              <w:spacing w:after="0"/>
              <w:rPr>
                <w:sz w:val="20"/>
                <w:szCs w:val="20"/>
                <w:color w:val="auto"/>
              </w:rPr>
            </w:pPr>
            <w:r>
              <w:rPr>
                <w:rFonts w:ascii="Arial" w:cs="Arial" w:eastAsia="Arial" w:hAnsi="Arial"/>
                <w:sz w:val="13"/>
                <w:szCs w:val="13"/>
                <w:color w:val="auto"/>
              </w:rPr>
              <w:t>Jan-18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Oct-26</w:t>
            </w:r>
          </w:p>
        </w:tc>
      </w:tr>
      <w:tr>
        <w:trPr>
          <w:trHeight w:val="190"/>
        </w:trPr>
        <w:tc>
          <w:tcPr>
            <w:tcW w:w="2740" w:type="dxa"/>
            <w:vAlign w:val="bottom"/>
          </w:tcPr>
          <w:p>
            <w:pPr>
              <w:ind w:left="20"/>
              <w:spacing w:after="0"/>
              <w:rPr>
                <w:sz w:val="20"/>
                <w:szCs w:val="20"/>
                <w:color w:val="auto"/>
              </w:rPr>
            </w:pPr>
            <w:r>
              <w:rPr>
                <w:rFonts w:ascii="Arial" w:cs="Arial" w:eastAsia="Arial" w:hAnsi="Arial"/>
                <w:sz w:val="13"/>
                <w:szCs w:val="13"/>
                <w:color w:val="auto"/>
              </w:rPr>
              <w:t>TriplePoint</w:t>
            </w:r>
          </w:p>
        </w:tc>
        <w:tc>
          <w:tcPr>
            <w:tcW w:w="1420" w:type="dxa"/>
            <w:vAlign w:val="bottom"/>
            <w:gridSpan w:val="2"/>
          </w:tcPr>
          <w:p>
            <w:pPr>
              <w:jc w:val="center"/>
              <w:ind w:left="138"/>
              <w:spacing w:after="0"/>
              <w:rPr>
                <w:sz w:val="20"/>
                <w:szCs w:val="20"/>
                <w:color w:val="auto"/>
              </w:rPr>
            </w:pPr>
            <w:r>
              <w:rPr>
                <w:rFonts w:ascii="Arial" w:cs="Arial" w:eastAsia="Arial" w:hAnsi="Arial"/>
                <w:sz w:val="13"/>
                <w:szCs w:val="13"/>
                <w:color w:val="auto"/>
                <w:w w:val="97"/>
              </w:rPr>
              <w:t>Apr-18</w:t>
            </w:r>
          </w:p>
        </w:tc>
        <w:tc>
          <w:tcPr>
            <w:tcW w:w="1120" w:type="dxa"/>
            <w:vAlign w:val="bottom"/>
          </w:tcPr>
          <w:p>
            <w:pPr>
              <w:jc w:val="right"/>
              <w:spacing w:after="0"/>
              <w:rPr>
                <w:sz w:val="20"/>
                <w:szCs w:val="20"/>
                <w:color w:val="auto"/>
              </w:rPr>
            </w:pPr>
            <w:r>
              <w:rPr>
                <w:rFonts w:ascii="Arial" w:cs="Arial" w:eastAsia="Arial" w:hAnsi="Arial"/>
                <w:sz w:val="13"/>
                <w:szCs w:val="13"/>
                <w:color w:val="auto"/>
              </w:rPr>
              <w:t>828</w:t>
            </w:r>
          </w:p>
        </w:tc>
        <w:tc>
          <w:tcPr>
            <w:tcW w:w="8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150.80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Oct-26</w:t>
            </w: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TriplePoint</w:t>
            </w:r>
          </w:p>
        </w:tc>
        <w:tc>
          <w:tcPr>
            <w:tcW w:w="1420" w:type="dxa"/>
            <w:vAlign w:val="bottom"/>
            <w:gridSpan w:val="2"/>
            <w:shd w:val="clear" w:color="auto" w:fill="CCEEFF"/>
          </w:tcPr>
          <w:p>
            <w:pPr>
              <w:jc w:val="center"/>
              <w:ind w:left="158"/>
              <w:spacing w:after="0"/>
              <w:rPr>
                <w:sz w:val="20"/>
                <w:szCs w:val="20"/>
                <w:color w:val="auto"/>
              </w:rPr>
            </w:pPr>
            <w:r>
              <w:rPr>
                <w:rFonts w:ascii="Arial" w:cs="Arial" w:eastAsia="Arial" w:hAnsi="Arial"/>
                <w:sz w:val="13"/>
                <w:szCs w:val="13"/>
                <w:color w:val="auto"/>
                <w:w w:val="95"/>
              </w:rPr>
              <w:t>Nov-15</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1,760</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Oct-26</w:t>
            </w:r>
          </w:p>
        </w:tc>
      </w:tr>
      <w:tr>
        <w:trPr>
          <w:trHeight w:val="190"/>
        </w:trPr>
        <w:tc>
          <w:tcPr>
            <w:tcW w:w="2740" w:type="dxa"/>
            <w:vAlign w:val="bottom"/>
          </w:tcPr>
          <w:p>
            <w:pPr>
              <w:ind w:left="20"/>
              <w:spacing w:after="0"/>
              <w:rPr>
                <w:sz w:val="20"/>
                <w:szCs w:val="20"/>
                <w:color w:val="auto"/>
              </w:rPr>
            </w:pPr>
            <w:r>
              <w:rPr>
                <w:rFonts w:ascii="Arial" w:cs="Arial" w:eastAsia="Arial" w:hAnsi="Arial"/>
                <w:sz w:val="13"/>
                <w:szCs w:val="13"/>
                <w:color w:val="auto"/>
              </w:rPr>
              <w:t>TriplePoint</w:t>
            </w:r>
          </w:p>
        </w:tc>
        <w:tc>
          <w:tcPr>
            <w:tcW w:w="1420" w:type="dxa"/>
            <w:vAlign w:val="bottom"/>
            <w:gridSpan w:val="2"/>
          </w:tcPr>
          <w:p>
            <w:pPr>
              <w:jc w:val="center"/>
              <w:ind w:left="158"/>
              <w:spacing w:after="0"/>
              <w:rPr>
                <w:sz w:val="20"/>
                <w:szCs w:val="20"/>
                <w:color w:val="auto"/>
              </w:rPr>
            </w:pPr>
            <w:r>
              <w:rPr>
                <w:rFonts w:ascii="Arial" w:cs="Arial" w:eastAsia="Arial" w:hAnsi="Arial"/>
                <w:sz w:val="13"/>
                <w:szCs w:val="13"/>
                <w:color w:val="auto"/>
              </w:rPr>
              <w:t>Jun-16</w:t>
            </w:r>
          </w:p>
        </w:tc>
        <w:tc>
          <w:tcPr>
            <w:tcW w:w="1120" w:type="dxa"/>
            <w:vAlign w:val="bottom"/>
          </w:tcPr>
          <w:p>
            <w:pPr>
              <w:jc w:val="right"/>
              <w:spacing w:after="0"/>
              <w:rPr>
                <w:sz w:val="20"/>
                <w:szCs w:val="20"/>
                <w:color w:val="auto"/>
              </w:rPr>
            </w:pPr>
            <w:r>
              <w:rPr>
                <w:rFonts w:ascii="Arial" w:cs="Arial" w:eastAsia="Arial" w:hAnsi="Arial"/>
                <w:sz w:val="13"/>
                <w:szCs w:val="13"/>
                <w:color w:val="auto"/>
              </w:rPr>
              <w:t>1,408</w:t>
            </w:r>
          </w:p>
        </w:tc>
        <w:tc>
          <w:tcPr>
            <w:tcW w:w="8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Oct-26</w:t>
            </w:r>
          </w:p>
        </w:tc>
      </w:tr>
      <w:tr>
        <w:trPr>
          <w:trHeight w:val="192"/>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TriplePoint</w:t>
            </w:r>
          </w:p>
        </w:tc>
        <w:tc>
          <w:tcPr>
            <w:tcW w:w="1420" w:type="dxa"/>
            <w:vAlign w:val="bottom"/>
            <w:gridSpan w:val="2"/>
            <w:shd w:val="clear" w:color="auto" w:fill="CCEEFF"/>
          </w:tcPr>
          <w:p>
            <w:pPr>
              <w:jc w:val="center"/>
              <w:ind w:left="158"/>
              <w:spacing w:after="0"/>
              <w:rPr>
                <w:sz w:val="20"/>
                <w:szCs w:val="20"/>
                <w:color w:val="auto"/>
              </w:rPr>
            </w:pPr>
            <w:r>
              <w:rPr>
                <w:rFonts w:ascii="Arial" w:cs="Arial" w:eastAsia="Arial" w:hAnsi="Arial"/>
                <w:sz w:val="13"/>
                <w:szCs w:val="13"/>
                <w:color w:val="auto"/>
                <w:w w:val="95"/>
              </w:rPr>
              <w:t>Sep-16</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Oct-26</w:t>
            </w:r>
          </w:p>
        </w:tc>
      </w:tr>
      <w:tr>
        <w:trPr>
          <w:trHeight w:val="184"/>
        </w:trPr>
        <w:tc>
          <w:tcPr>
            <w:tcW w:w="2740" w:type="dxa"/>
            <w:vAlign w:val="bottom"/>
          </w:tcPr>
          <w:p>
            <w:pPr>
              <w:ind w:left="20"/>
              <w:spacing w:after="0"/>
              <w:rPr>
                <w:sz w:val="20"/>
                <w:szCs w:val="20"/>
                <w:color w:val="auto"/>
              </w:rPr>
            </w:pPr>
            <w:r>
              <w:rPr>
                <w:rFonts w:ascii="Arial" w:cs="Arial" w:eastAsia="Arial" w:hAnsi="Arial"/>
                <w:sz w:val="13"/>
                <w:szCs w:val="13"/>
                <w:color w:val="auto"/>
              </w:rPr>
              <w:t>CHS (US) Management LLC</w:t>
            </w:r>
          </w:p>
        </w:tc>
        <w:tc>
          <w:tcPr>
            <w:tcW w:w="1420" w:type="dxa"/>
            <w:vAlign w:val="bottom"/>
            <w:gridSpan w:val="2"/>
          </w:tcPr>
          <w:p>
            <w:pPr>
              <w:jc w:val="center"/>
              <w:ind w:left="138"/>
              <w:spacing w:after="0"/>
              <w:rPr>
                <w:sz w:val="20"/>
                <w:szCs w:val="20"/>
                <w:color w:val="auto"/>
              </w:rPr>
            </w:pPr>
            <w:r>
              <w:rPr>
                <w:rFonts w:ascii="Arial" w:cs="Arial" w:eastAsia="Arial" w:hAnsi="Arial"/>
                <w:sz w:val="13"/>
                <w:szCs w:val="13"/>
                <w:color w:val="auto"/>
                <w:w w:val="97"/>
              </w:rPr>
              <w:t>Oct-21</w:t>
            </w:r>
          </w:p>
        </w:tc>
        <w:tc>
          <w:tcPr>
            <w:tcW w:w="1120" w:type="dxa"/>
            <w:vAlign w:val="bottom"/>
          </w:tcPr>
          <w:p>
            <w:pPr>
              <w:jc w:val="right"/>
              <w:spacing w:after="0"/>
              <w:rPr>
                <w:sz w:val="20"/>
                <w:szCs w:val="20"/>
                <w:color w:val="auto"/>
              </w:rPr>
            </w:pPr>
            <w:r>
              <w:rPr>
                <w:rFonts w:ascii="Arial" w:cs="Arial" w:eastAsia="Arial" w:hAnsi="Arial"/>
                <w:sz w:val="13"/>
                <w:szCs w:val="13"/>
                <w:color w:val="auto"/>
              </w:rPr>
              <w:t>19,717</w:t>
            </w:r>
          </w:p>
        </w:tc>
        <w:tc>
          <w:tcPr>
            <w:tcW w:w="8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Oct-28</w:t>
            </w:r>
          </w:p>
        </w:tc>
      </w:tr>
      <w:tr>
        <w:trPr>
          <w:trHeight w:val="19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CHS (US) Management LLC</w:t>
            </w:r>
          </w:p>
        </w:tc>
        <w:tc>
          <w:tcPr>
            <w:tcW w:w="1420" w:type="dxa"/>
            <w:vAlign w:val="bottom"/>
            <w:gridSpan w:val="2"/>
            <w:shd w:val="clear" w:color="auto" w:fill="CCEEFF"/>
          </w:tcPr>
          <w:p>
            <w:pPr>
              <w:jc w:val="center"/>
              <w:ind w:left="158"/>
              <w:spacing w:after="0"/>
              <w:rPr>
                <w:sz w:val="20"/>
                <w:szCs w:val="20"/>
                <w:color w:val="auto"/>
              </w:rPr>
            </w:pPr>
            <w:r>
              <w:rPr>
                <w:rFonts w:ascii="Arial" w:cs="Arial" w:eastAsia="Arial" w:hAnsi="Arial"/>
                <w:sz w:val="13"/>
                <w:szCs w:val="13"/>
                <w:color w:val="auto"/>
              </w:rPr>
              <w:t>Jan-23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8"/>
              </w:rPr>
              <w:t>Common</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Jan-30</w:t>
            </w:r>
          </w:p>
        </w:tc>
      </w:tr>
      <w:tr>
        <w:trPr>
          <w:trHeight w:val="176"/>
        </w:trPr>
        <w:tc>
          <w:tcPr>
            <w:tcW w:w="2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131,574</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460"/>
        <w:spacing w:after="0" w:line="290" w:lineRule="auto"/>
        <w:rPr>
          <w:sz w:val="20"/>
          <w:szCs w:val="20"/>
          <w:color w:val="auto"/>
        </w:rPr>
      </w:pPr>
      <w:r>
        <w:rPr>
          <w:rFonts w:ascii="Arial" w:cs="Arial" w:eastAsia="Arial" w:hAnsi="Arial"/>
          <w:sz w:val="14"/>
          <w:szCs w:val="14"/>
          <w:color w:val="auto"/>
        </w:rPr>
        <w:t>As of April 30, 2026 and January 31, 2026, all outstanding warrants were equity-classified and recorded as additional paid-in capital. Equity-classified contracts are not subsequently remeasured unless reclassification is required from equity to liability classification.</w:t>
      </w:r>
    </w:p>
    <w:p>
      <w:pPr>
        <w:spacing w:after="0" w:line="35"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19" w:lineRule="exact"/>
        <w:rPr>
          <w:sz w:val="20"/>
          <w:szCs w:val="20"/>
          <w:color w:val="auto"/>
        </w:rPr>
      </w:pPr>
    </w:p>
    <w:p>
      <w:pPr>
        <w:ind w:left="380" w:hanging="375"/>
        <w:spacing w:after="0"/>
        <w:tabs>
          <w:tab w:leader="none" w:pos="38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4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91" w:lineRule="exact"/>
        <w:rPr>
          <w:rFonts w:ascii="Arial" w:cs="Arial" w:eastAsia="Arial" w:hAnsi="Arial"/>
          <w:sz w:val="14"/>
          <w:szCs w:val="14"/>
          <w:b w:val="1"/>
          <w:bCs w:val="1"/>
          <w:color w:val="auto"/>
        </w:rPr>
      </w:pPr>
    </w:p>
    <w:p>
      <w:pPr>
        <w:ind w:left="380" w:right="12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There are no outstanding RSUs under the 2009 Plan and 2019 Plan as of April 30, 2026. There will not be any further equity grants under the 2009 and 2019 Plans.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Amended and Restated 2021 Incentive Award Plan</w:t>
      </w:r>
    </w:p>
    <w:p>
      <w:pPr>
        <w:spacing w:after="0" w:line="92"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Company's Amended and Restated 2021 Incentive Award Plan (the "2021 Plan") was adopted by the Board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years ended January 31, 2026 and 2025 have a shorter vesting period of one to two years. There will not be any further equity grants under the 2021 Plan. See below for details of the Second Amended and Restated 2021 Incentive Award Plan.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Second Amended and Restated 2021 Incentive Award Plan</w:t>
      </w:r>
    </w:p>
    <w:p>
      <w:pPr>
        <w:spacing w:after="0" w:line="198" w:lineRule="exact"/>
        <w:rPr>
          <w:sz w:val="20"/>
          <w:szCs w:val="20"/>
          <w:color w:val="auto"/>
        </w:rPr>
      </w:pPr>
    </w:p>
    <w:p>
      <w:pPr>
        <w:ind w:left="380" w:right="80"/>
        <w:spacing w:after="0" w:line="258" w:lineRule="auto"/>
        <w:rPr>
          <w:sz w:val="20"/>
          <w:szCs w:val="20"/>
          <w:color w:val="auto"/>
        </w:rPr>
      </w:pPr>
      <w:r>
        <w:rPr>
          <w:rFonts w:ascii="Arial" w:cs="Arial" w:eastAsia="Arial" w:hAnsi="Arial"/>
          <w:sz w:val="14"/>
          <w:szCs w:val="14"/>
          <w:color w:val="auto"/>
        </w:rPr>
        <w:t>In October 2025, the Company’s stockholders approved the Second Amended and Restated 2021 Incentive Award Plan (the “Amended 2021 Plan”), which the Board approved in September 2025, to increase the number of shares of Class A common stock reserved for issuance thereunder by 6,130,499 shares of Class A common stock and to extend the expiration date to the tenth anniversary of the closing date, October 28, 2035. Further, effective on December 15, 2025, the Board increased the number of shares of Class A common stock reserved for issuance thereunder by 3,899,439 shares of Class A common stock, which increase is subject to approval by the Company’s stockholders at the Company’s 2026 annual meeting of stockholders. As of April 30, 2026, there were 3,797,654 shares of Class A common stock available for issuance under the Amended 2021 Plan. RSUs granted under the Amended 2021 Plan generally vest over a four-year period and PSUs vest based on the satisfaction of time-vesting requirements, achievement of performance targets, and market-based conditions where applicable. The PSU awards have been included assuming payout at target level. There will not be any further equity grants of Class B common stock. Shares of Class B common stock are not available for issuance under the Amended 2021 Plan.</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addition, we have granted RSUs outside of the Amended 2021 Plan in reliance on the employment inducement award exemption set forth in Nasdaq Listing Rule 5635(c)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(4). These RSUs are generally subject to the terms of the Amended 2021 Plan and vest over a four-year period.</w:t>
      </w:r>
    </w:p>
    <w:p>
      <w:pPr>
        <w:spacing w:after="0" w:line="186"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The risk-free rate for the expected term of the option is based on the U.S. Treasury yield curve at the date of grant. There were no stock options granted during the three months ended April 30, 2026 or year ended January 31, 2026.</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Average</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w:t>
            </w:r>
          </w:p>
        </w:tc>
        <w:tc>
          <w:tcPr>
            <w:tcW w:w="260" w:type="dxa"/>
            <w:vAlign w:val="bottom"/>
          </w:tcPr>
          <w:p>
            <w:pPr>
              <w:spacing w:after="0"/>
              <w:rPr>
                <w:sz w:val="11"/>
                <w:szCs w:val="11"/>
                <w:color w:val="auto"/>
              </w:rPr>
            </w:pPr>
          </w:p>
        </w:tc>
        <w:tc>
          <w:tcPr>
            <w:tcW w:w="1120" w:type="dxa"/>
            <w:vAlign w:val="bottom"/>
          </w:tcPr>
          <w:p>
            <w:pPr>
              <w:jc w:val="center"/>
              <w:ind w:right="196"/>
              <w:spacing w:after="0"/>
              <w:rPr>
                <w:sz w:val="20"/>
                <w:szCs w:val="20"/>
                <w:color w:val="auto"/>
              </w:rPr>
            </w:pPr>
            <w:r>
              <w:rPr>
                <w:rFonts w:ascii="Arial" w:cs="Arial" w:eastAsia="Arial" w:hAnsi="Arial"/>
                <w:sz w:val="11"/>
                <w:szCs w:val="11"/>
                <w:b w:val="1"/>
                <w:bCs w:val="1"/>
                <w:color w:val="auto"/>
                <w:w w:val="99"/>
              </w:rPr>
              <w:t>Aggregate</w:t>
            </w: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jc w:val="right"/>
              <w:ind w:right="33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Exercise</w:t>
            </w:r>
          </w:p>
        </w:tc>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Term</w:t>
            </w:r>
          </w:p>
        </w:tc>
        <w:tc>
          <w:tcPr>
            <w:tcW w:w="260" w:type="dxa"/>
            <w:vAlign w:val="bottom"/>
          </w:tcPr>
          <w:p>
            <w:pPr>
              <w:spacing w:after="0"/>
              <w:rPr>
                <w:sz w:val="11"/>
                <w:szCs w:val="11"/>
                <w:color w:val="auto"/>
              </w:rPr>
            </w:pPr>
          </w:p>
        </w:tc>
        <w:tc>
          <w:tcPr>
            <w:tcW w:w="1120" w:type="dxa"/>
            <w:vAlign w:val="bottom"/>
          </w:tcPr>
          <w:p>
            <w:pPr>
              <w:jc w:val="center"/>
              <w:ind w:right="176"/>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65"/>
        </w:trPr>
        <w:tc>
          <w:tcPr>
            <w:tcW w:w="43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rPr>
              <w:t>Price</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2026</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175.64</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3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144.67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April 30, 2026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11,084</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178.45</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Exercisable as of April 30, 2026</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178.45</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CCEEFF"/>
              <w:bottom w:val="single" w:sz="8" w:color="CCEEFF"/>
            </w:tcBorders>
            <w:vMerge w:val="restart"/>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55"/>
        </w:trPr>
        <w:tc>
          <w:tcPr>
            <w:tcW w:w="4320" w:type="dxa"/>
            <w:vAlign w:val="bottom"/>
            <w:vMerge w:val="continue"/>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11,084</w:t>
            </w:r>
          </w:p>
        </w:tc>
        <w:tc>
          <w:tcPr>
            <w:tcW w:w="34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80" w:right="40"/>
        <w:spacing w:after="0" w:line="247" w:lineRule="auto"/>
        <w:rPr>
          <w:sz w:val="20"/>
          <w:szCs w:val="20"/>
          <w:color w:val="auto"/>
        </w:rPr>
      </w:pPr>
      <w:r>
        <w:rPr>
          <w:rFonts w:ascii="Arial" w:cs="Arial" w:eastAsia="Arial" w:hAnsi="Arial"/>
          <w:sz w:val="14"/>
          <w:szCs w:val="14"/>
          <w:color w:val="auto"/>
        </w:rPr>
        <w:t>During the year ended January 31, 2024, the Company completed an option exchange designed to incentivize and retain employees, directors and other service providers by providing the ability to exchange outstanding stock options for RSUs representing the right to receive Class A common stock. Stock options relating to 331,370 shares of</w:t>
      </w:r>
    </w:p>
    <w:p>
      <w:pPr>
        <w:spacing w:after="0" w:line="1" w:lineRule="exact"/>
        <w:rPr>
          <w:sz w:val="20"/>
          <w:szCs w:val="20"/>
          <w:color w:val="auto"/>
        </w:rPr>
      </w:pPr>
    </w:p>
    <w:p>
      <w:pPr>
        <w:ind w:left="380" w:right="120"/>
        <w:spacing w:after="0" w:line="238" w:lineRule="auto"/>
        <w:rPr>
          <w:sz w:val="20"/>
          <w:szCs w:val="20"/>
          <w:color w:val="auto"/>
        </w:rPr>
      </w:pPr>
      <w:r>
        <w:rPr>
          <w:rFonts w:ascii="Arial" w:cs="Arial" w:eastAsia="Arial" w:hAnsi="Arial"/>
          <w:sz w:val="14"/>
          <w:szCs w:val="14"/>
          <w:color w:val="auto"/>
        </w:rPr>
        <w:t>Class A and Class B common stock were forfeited in exchange for 132,546 RSUs which generally vest over two years. The Company recognized $0.8 million of incremental stock compensation expense from the RSUs granted as a result of the option exchange which will be recognized over the two year vesting period.</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currently uses authorized and unissued shares to satisfy the exercise of stock option awards.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38"/>
        </w:trPr>
        <w:tc>
          <w:tcPr>
            <w:tcW w:w="7380" w:type="dxa"/>
            <w:vAlign w:val="bottom"/>
          </w:tcPr>
          <w:p>
            <w:pPr>
              <w:spacing w:after="0"/>
              <w:rPr>
                <w:sz w:val="11"/>
                <w:szCs w:val="11"/>
                <w:color w:val="auto"/>
              </w:rPr>
            </w:pPr>
          </w:p>
        </w:tc>
        <w:tc>
          <w:tcPr>
            <w:tcW w:w="1380" w:type="dxa"/>
            <w:vAlign w:val="bottom"/>
            <w:vMerge w:val="restart"/>
          </w:tcPr>
          <w:p>
            <w:pPr>
              <w:jc w:val="right"/>
              <w:ind w:right="33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Grant-Date</w:t>
            </w:r>
          </w:p>
        </w:tc>
        <w:tc>
          <w:tcPr>
            <w:tcW w:w="0" w:type="dxa"/>
            <w:vAlign w:val="bottom"/>
          </w:tcPr>
          <w:p>
            <w:pPr>
              <w:spacing w:after="0"/>
              <w:rPr>
                <w:sz w:val="1"/>
                <w:szCs w:val="1"/>
                <w:color w:val="auto"/>
              </w:rPr>
            </w:pPr>
          </w:p>
        </w:tc>
      </w:tr>
      <w:tr>
        <w:trPr>
          <w:trHeight w:val="127"/>
        </w:trPr>
        <w:tc>
          <w:tcPr>
            <w:tcW w:w="7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65"/>
        </w:trPr>
        <w:tc>
          <w:tcPr>
            <w:tcW w:w="73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2026</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2,343,505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202"/>
        </w:trPr>
        <w:tc>
          <w:tcPr>
            <w:tcW w:w="7380" w:type="dxa"/>
            <w:vAlign w:val="bottom"/>
          </w:tcPr>
          <w:p>
            <w:pPr>
              <w:ind w:left="3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802,395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22"/>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Vested/Released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03"/>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(35,318)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April 30, 2026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3,082,073</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April 30, 2026, there was $14.0 million of unrecognized compensation cost related to RSUs granted that is expected to be recognized over a weighted average period of 3.5 years. Of the total unrecognized compensation cost, an immaterial amount related to RSUs granted as a result of the option exchange.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Performance RSUs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Fiscal Year 2026</w:t>
      </w:r>
    </w:p>
    <w:p>
      <w:pPr>
        <w:spacing w:after="0" w:line="177" w:lineRule="exact"/>
        <w:rPr>
          <w:sz w:val="20"/>
          <w:szCs w:val="20"/>
          <w:color w:val="auto"/>
        </w:rPr>
      </w:pPr>
    </w:p>
    <w:p>
      <w:pPr>
        <w:ind w:left="380" w:right="60"/>
        <w:spacing w:after="0" w:line="259" w:lineRule="auto"/>
        <w:rPr>
          <w:sz w:val="20"/>
          <w:szCs w:val="20"/>
          <w:color w:val="auto"/>
        </w:rPr>
      </w:pPr>
      <w:r>
        <w:rPr>
          <w:rFonts w:ascii="Arial" w:cs="Arial" w:eastAsia="Arial" w:hAnsi="Arial"/>
          <w:sz w:val="14"/>
          <w:szCs w:val="14"/>
          <w:color w:val="auto"/>
        </w:rPr>
        <w:t>During the three months ended April 30, 2026, the Company granted 2,005,988 PSU awards to an employee. The awards vest upon the satisfaction of performance-based and market conditions, subject to continued employment through such date. The performance-based condition requires the occurrence of a liquidity event, which is not considered probable as of April 30, 2026. The awards also include a market condition based on achieving a target equity value of the Company. The performance condition is applicable through October 28, 2029, after which time the awards vest solely on the market condition, which is assessed as of October 28, 2029 and as of each subsequent fiscal quarter. Share-based compensation expense related to these awards was nominal for the three months ended April 30, 2026. The PSU awards have been excluded from the calculation of weighted-average shares used in computing net loss per share attributable to common stockholders, basic and diluted, as the performance-based and market conditions have not been met.</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Fiscal Year 2025</w:t>
      </w:r>
    </w:p>
    <w:p>
      <w:pPr>
        <w:spacing w:after="0" w:line="177" w:lineRule="exact"/>
        <w:rPr>
          <w:sz w:val="20"/>
          <w:szCs w:val="20"/>
          <w:color w:val="auto"/>
        </w:rPr>
      </w:pPr>
    </w:p>
    <w:p>
      <w:pPr>
        <w:jc w:val="both"/>
        <w:ind w:left="380" w:right="160"/>
        <w:spacing w:after="0" w:line="271" w:lineRule="auto"/>
        <w:rPr>
          <w:sz w:val="20"/>
          <w:szCs w:val="20"/>
          <w:color w:val="auto"/>
        </w:rPr>
      </w:pPr>
      <w:r>
        <w:rPr>
          <w:rFonts w:ascii="Arial" w:cs="Arial" w:eastAsia="Arial" w:hAnsi="Arial"/>
          <w:sz w:val="14"/>
          <w:szCs w:val="14"/>
          <w:color w:val="auto"/>
        </w:rPr>
        <w:t>PSU awards require the achievement of certain performance targets established by the Company’s Board of Directors during a three-year performance period. PSU awards vest following the last day of the performance period, subject to continued employment through such date. Share-based compensation expense is recognized based on the Company’s best estimate of expected performance.</w:t>
      </w:r>
    </w:p>
    <w:p>
      <w:pPr>
        <w:spacing w:after="0" w:line="155"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During the year ended January 31, 2026, the Company’s Board of Directors approved 2,206,540 PSU awards for employees. These awards were not deemed granted during the three months ended April 30, 2026 and year ended January 31, 2026 as the performance metrics and targets have not been established. There were no PSU awards granted prior to fiscal year 2025. The Company recognized no share-based compensation expense for the PSU awards during the three months ended April 30, 2026 and year ended January 31, 2026 as the performance metrics and targets have not been established or met. The PSU awards have been excluded from the calculation of weighted-average shares used in computing net loss per share attributable to common stockholders, basic and diluted, as the performance-based condition has not been met. The PSU awards may vest up to 200% of the number of awards granted based on the achievement of performance targets.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123" w:lineRule="exact"/>
        <w:rPr>
          <w:sz w:val="20"/>
          <w:szCs w:val="20"/>
          <w:color w:val="auto"/>
        </w:rPr>
      </w:pPr>
    </w:p>
    <w:p>
      <w:pPr>
        <w:ind w:left="380" w:right="620"/>
        <w:spacing w:after="0" w:line="290" w:lineRule="auto"/>
        <w:rPr>
          <w:sz w:val="20"/>
          <w:szCs w:val="20"/>
          <w:color w:val="auto"/>
        </w:rPr>
      </w:pPr>
      <w:r>
        <w:rPr>
          <w:rFonts w:ascii="Arial" w:cs="Arial" w:eastAsia="Arial" w:hAnsi="Arial"/>
          <w:sz w:val="14"/>
          <w:szCs w:val="14"/>
          <w:color w:val="auto"/>
        </w:rPr>
        <w:t>The classification of share-based compensation for the three months ended April 30, 2026 and 2025, respectively, presented within each line item of the Condensed Consolidated Statements of Operations is as follows:</w:t>
      </w:r>
    </w:p>
    <w:p>
      <w:pPr>
        <w:spacing w:after="0" w:line="171" w:lineRule="exact"/>
        <w:rPr>
          <w:sz w:val="20"/>
          <w:szCs w:val="20"/>
          <w:color w:val="auto"/>
        </w:rPr>
      </w:pPr>
    </w:p>
    <w:p>
      <w:pPr>
        <w:jc w:val="center"/>
        <w:ind w:left="710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7100"/>
        <w:spacing w:after="0"/>
        <w:rPr>
          <w:sz w:val="20"/>
          <w:szCs w:val="20"/>
          <w:color w:val="auto"/>
        </w:rPr>
      </w:pPr>
      <w:r>
        <w:rPr>
          <w:rFonts w:ascii="Arial" w:cs="Arial" w:eastAsia="Arial" w:hAnsi="Arial"/>
          <w:sz w:val="11"/>
          <w:szCs w:val="11"/>
          <w:b w:val="1"/>
          <w:bCs w:val="1"/>
          <w:color w:val="auto"/>
        </w:rPr>
        <w:t>April 30,</w:t>
      </w:r>
    </w:p>
    <w:p>
      <w:pPr>
        <w:spacing w:after="0" w:line="1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3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2026</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2025</w:t>
            </w:r>
          </w:p>
        </w:tc>
      </w:tr>
      <w:tr>
        <w:trPr>
          <w:trHeight w:val="203"/>
        </w:trPr>
        <w:tc>
          <w:tcPr>
            <w:tcW w:w="734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20" w:type="dxa"/>
            <w:vAlign w:val="bottom"/>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28"/>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share-based compensation</w:t>
            </w: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spacing w:after="0" w:line="274" w:lineRule="auto"/>
        <w:rPr>
          <w:sz w:val="20"/>
          <w:szCs w:val="20"/>
          <w:color w:val="auto"/>
        </w:rPr>
      </w:pPr>
      <w:r>
        <w:rPr>
          <w:rFonts w:ascii="Arial" w:cs="Arial" w:eastAsia="Arial" w:hAnsi="Arial"/>
          <w:sz w:val="14"/>
          <w:szCs w:val="14"/>
          <w:color w:val="auto"/>
        </w:rPr>
        <w:t>The Company recognized an immaterial amount and $0.4 million of share-based compensation expense during the three months ended April 30, 2026 and 2025, respectively, on the RSUs granted as a result of the option exchange discussed above.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Attributable to Common Stockholders</w:t>
      </w:r>
    </w:p>
    <w:p>
      <w:pPr>
        <w:spacing w:after="0" w:line="93" w:lineRule="exact"/>
        <w:rPr>
          <w:rFonts w:ascii="Arial" w:cs="Arial" w:eastAsia="Arial" w:hAnsi="Arial"/>
          <w:sz w:val="14"/>
          <w:szCs w:val="14"/>
          <w:b w:val="1"/>
          <w:bCs w:val="1"/>
          <w:color w:val="auto"/>
        </w:rPr>
      </w:pPr>
    </w:p>
    <w:p>
      <w:pPr>
        <w:ind w:left="380" w:right="4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The rights of the Class A common stock and Class B common stock were substantially identical, other than voting rights. Accordingly, the net loss per share attributable to common stockholders will be the same for Class A and Class B common stock on an individual or combined basis. The Company completed a rights offering in October 2025. As the exercise price for the rights offering was lower than the Company’s stock price, the rights offering contained a bonus element similar to a stock dividend. The Company adjusted the weighted-average shares used in computing net loss per share to reflect the bonus element for the first quarter of fiscal year 2025.</w:t>
      </w:r>
    </w:p>
    <w:p>
      <w:pPr>
        <w:spacing w:after="0" w:line="5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the computation of basic and diluted net loss per share attributable to common stockholders:</w:t>
      </w:r>
    </w:p>
    <w:p>
      <w:pPr>
        <w:spacing w:after="0" w:line="229" w:lineRule="exact"/>
        <w:rPr>
          <w:sz w:val="20"/>
          <w:szCs w:val="20"/>
          <w:color w:val="auto"/>
        </w:rPr>
      </w:pPr>
    </w:p>
    <w:p>
      <w:pPr>
        <w:jc w:val="center"/>
        <w:ind w:left="748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7480"/>
        <w:spacing w:after="0"/>
        <w:rPr>
          <w:sz w:val="20"/>
          <w:szCs w:val="20"/>
          <w:color w:val="auto"/>
        </w:rPr>
      </w:pPr>
      <w:r>
        <w:rPr>
          <w:rFonts w:ascii="Arial" w:cs="Arial" w:eastAsia="Arial" w:hAnsi="Arial"/>
          <w:sz w:val="11"/>
          <w:szCs w:val="11"/>
          <w:b w:val="1"/>
          <w:bCs w:val="1"/>
          <w:color w:val="auto"/>
        </w:rPr>
        <w:t>April 30,</w:t>
      </w:r>
    </w:p>
    <w:p>
      <w:pPr>
        <w:spacing w:after="0" w:line="1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7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2025</w:t>
            </w: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2"/>
        </w:trPr>
        <w:tc>
          <w:tcPr>
            <w:tcW w:w="7700" w:type="dxa"/>
            <w:vAlign w:val="bottom"/>
          </w:tcPr>
          <w:p>
            <w:pPr>
              <w:ind w:left="36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3"/>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770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loss per share attributable to common stockholders, basic and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77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33,423,930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4,168,053</w:t>
            </w: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180"/>
        <w:spacing w:after="0" w:line="290" w:lineRule="auto"/>
        <w:rPr>
          <w:sz w:val="20"/>
          <w:szCs w:val="20"/>
          <w:color w:val="auto"/>
        </w:rPr>
      </w:pPr>
      <w:r>
        <w:rPr>
          <w:rFonts w:ascii="Arial" w:cs="Arial" w:eastAsia="Arial" w:hAnsi="Arial"/>
          <w:sz w:val="14"/>
          <w:szCs w:val="14"/>
          <w:color w:val="auto"/>
        </w:rPr>
        <w:t>As the Company incurred net losses for the three months ended April 30, 2026 and 2025, weighted-average basic shares and weighted-average diluted shares outstanding are equal for these periods.</w:t>
      </w:r>
    </w:p>
    <w:p>
      <w:pPr>
        <w:spacing w:after="0" w:line="205" w:lineRule="exact"/>
        <w:rPr>
          <w:sz w:val="20"/>
          <w:szCs w:val="20"/>
          <w:color w:val="auto"/>
        </w:rPr>
      </w:pPr>
    </w:p>
    <w:p>
      <w:pPr>
        <w:ind w:left="380" w:hanging="375"/>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93" w:lineRule="exact"/>
        <w:rPr>
          <w:rFonts w:ascii="Arial" w:cs="Arial" w:eastAsia="Arial" w:hAnsi="Arial"/>
          <w:sz w:val="14"/>
          <w:szCs w:val="14"/>
          <w:b w:val="1"/>
          <w:bCs w:val="1"/>
          <w:color w:val="auto"/>
        </w:rPr>
      </w:pPr>
    </w:p>
    <w:p>
      <w:pPr>
        <w:ind w:left="38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As of April 30, 2026, the Company had outstanding long-term debt, net of $157.1 million with the Investor Group. The debt is presented as Long-term debt, net on the Condensed Consolidated Balance Sheets. The Investor Group held 85% of the voting power of the Company’s outstanding Class A Common Stock as of April 30, 2026. The Company recognized a nominal amount of interest expense related to the $10.0 million of new term loans held by other members of the Investor Group during the three months ended April 30, 2026. The Company recognized $2.7 million of paid-in-kind interest during the three months ended April 30, 2026. On January 28, 2026, the Company entered into the First Amendment. The First Amendment removed the minimum liquidity maintenance covenant. On April 1, 2026, the Company entered into the Second Amendment to the New Credit Agreement. The Second Amendment provides the Company with the ability to capitalize interest in lieu of cash payments until May 3, 2027. See “Note 6 - Long-Term Debt” for additional information.</w:t>
      </w:r>
    </w:p>
    <w:p>
      <w:pPr>
        <w:spacing w:after="0" w:line="226" w:lineRule="exact"/>
        <w:rPr>
          <w:rFonts w:ascii="Arial" w:cs="Arial" w:eastAsia="Arial" w:hAnsi="Arial"/>
          <w:sz w:val="14"/>
          <w:szCs w:val="14"/>
          <w:b w:val="1"/>
          <w:bCs w:val="1"/>
          <w:color w:val="auto"/>
        </w:rPr>
      </w:pPr>
    </w:p>
    <w:p>
      <w:pPr>
        <w:ind w:left="380" w:hanging="375"/>
        <w:spacing w:after="0"/>
        <w:tabs>
          <w:tab w:leader="none" w:pos="3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28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See “Note 2 - Summary of Significant Accounting Policies” for information regarding the Company’s restricted cash balances.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8840" w:type="dxa"/>
            <w:vAlign w:val="bottom"/>
          </w:tcPr>
          <w:p>
            <w:pPr>
              <w:jc w:val="right"/>
              <w:ind w:right="449"/>
              <w:spacing w:after="0"/>
              <w:rPr>
                <w:sz w:val="20"/>
                <w:szCs w:val="20"/>
                <w:color w:val="auto"/>
              </w:rPr>
            </w:pPr>
            <w:r>
              <w:rPr>
                <w:rFonts w:ascii="Arial" w:cs="Arial" w:eastAsia="Arial" w:hAnsi="Arial"/>
                <w:sz w:val="14"/>
                <w:szCs w:val="14"/>
                <w:color w:val="auto"/>
              </w:rPr>
              <w:t>The Company had the following non-cancelable minimum purchase commitments related to technology services as of April 30, 2026:</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91"/>
        </w:trPr>
        <w:tc>
          <w:tcPr>
            <w:tcW w:w="88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Commitment</w:t>
            </w:r>
          </w:p>
        </w:tc>
      </w:tr>
      <w:tr>
        <w:trPr>
          <w:trHeight w:val="160"/>
        </w:trPr>
        <w:tc>
          <w:tcPr>
            <w:tcW w:w="8840" w:type="dxa"/>
            <w:vAlign w:val="bottom"/>
            <w:shd w:val="clear" w:color="auto" w:fill="CCEEFF"/>
          </w:tcPr>
          <w:p>
            <w:pPr>
              <w:jc w:val="right"/>
              <w:ind w:right="8029"/>
              <w:spacing w:after="0"/>
              <w:rPr>
                <w:sz w:val="20"/>
                <w:szCs w:val="20"/>
                <w:color w:val="auto"/>
              </w:rPr>
            </w:pPr>
            <w:r>
              <w:rPr>
                <w:rFonts w:ascii="Arial" w:cs="Arial" w:eastAsia="Arial" w:hAnsi="Arial"/>
                <w:sz w:val="14"/>
                <w:szCs w:val="14"/>
                <w:color w:val="auto"/>
              </w:rPr>
              <w:t>Fiscal year:</w:t>
            </w: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80"/>
        </w:trPr>
        <w:tc>
          <w:tcPr>
            <w:tcW w:w="8840" w:type="dxa"/>
            <w:vAlign w:val="bottom"/>
          </w:tcPr>
          <w:p>
            <w:pPr>
              <w:jc w:val="right"/>
              <w:ind w:right="8269"/>
              <w:spacing w:after="0"/>
              <w:rPr>
                <w:sz w:val="20"/>
                <w:szCs w:val="20"/>
                <w:color w:val="auto"/>
              </w:rPr>
            </w:pPr>
            <w:r>
              <w:rPr>
                <w:rFonts w:ascii="Arial" w:cs="Arial" w:eastAsia="Arial" w:hAnsi="Arial"/>
                <w:sz w:val="14"/>
                <w:szCs w:val="14"/>
                <w:color w:val="auto"/>
              </w:rPr>
              <w:t>2026</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0"/>
        </w:trPr>
        <w:tc>
          <w:tcPr>
            <w:tcW w:w="8840" w:type="dxa"/>
            <w:vAlign w:val="bottom"/>
            <w:shd w:val="clear" w:color="auto" w:fill="CCEEFF"/>
          </w:tcPr>
          <w:p>
            <w:pPr>
              <w:jc w:val="right"/>
              <w:ind w:right="8269"/>
              <w:spacing w:after="0"/>
              <w:rPr>
                <w:sz w:val="20"/>
                <w:szCs w:val="20"/>
                <w:color w:val="auto"/>
              </w:rPr>
            </w:pPr>
            <w:r>
              <w:rPr>
                <w:rFonts w:ascii="Arial" w:cs="Arial" w:eastAsia="Arial" w:hAnsi="Arial"/>
                <w:sz w:val="14"/>
                <w:szCs w:val="14"/>
                <w:color w:val="auto"/>
              </w:rPr>
              <w:t>2027</w:t>
            </w: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71"/>
        </w:trPr>
        <w:tc>
          <w:tcPr>
            <w:tcW w:w="8840" w:type="dxa"/>
            <w:vAlign w:val="bottom"/>
          </w:tcPr>
          <w:p>
            <w:pPr>
              <w:jc w:val="right"/>
              <w:ind w:right="6349"/>
              <w:spacing w:after="0"/>
              <w:rPr>
                <w:sz w:val="20"/>
                <w:szCs w:val="20"/>
                <w:color w:val="auto"/>
              </w:rPr>
            </w:pPr>
            <w:r>
              <w:rPr>
                <w:rFonts w:ascii="Arial" w:cs="Arial" w:eastAsia="Arial" w:hAnsi="Arial"/>
                <w:sz w:val="14"/>
                <w:szCs w:val="14"/>
                <w:color w:val="auto"/>
              </w:rPr>
              <w:t>Commitments as of April 30, 2026</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0"/>
        </w:trPr>
        <w:tc>
          <w:tcPr>
            <w:tcW w:w="8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2" w:lineRule="exact"/>
        <w:rPr>
          <w:sz w:val="20"/>
          <w:szCs w:val="20"/>
          <w:color w:val="auto"/>
        </w:rPr>
      </w:pPr>
    </w:p>
    <w:p>
      <w:pPr>
        <w:ind w:left="380" w:right="220"/>
        <w:spacing w:after="0" w:line="265" w:lineRule="auto"/>
        <w:rPr>
          <w:sz w:val="20"/>
          <w:szCs w:val="20"/>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244" w:lineRule="exact"/>
        <w:rPr>
          <w:sz w:val="20"/>
          <w:szCs w:val="20"/>
          <w:color w:val="auto"/>
        </w:rPr>
      </w:pPr>
    </w:p>
    <w:p>
      <w:pPr>
        <w:ind w:left="380"/>
        <w:spacing w:after="0" w:line="244" w:lineRule="auto"/>
        <w:rPr>
          <w:sz w:val="20"/>
          <w:szCs w:val="20"/>
          <w:color w:val="auto"/>
        </w:rPr>
      </w:pPr>
      <w:r>
        <w:rPr>
          <w:rFonts w:ascii="Arial" w:cs="Arial" w:eastAsia="Arial" w:hAnsi="Arial"/>
          <w:sz w:val="14"/>
          <w:szCs w:val="14"/>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“Securities Action”).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 w:cs="Arial" w:eastAsia="Arial" w:hAnsi="Arial"/>
          <w:sz w:val="14"/>
          <w:szCs w:val="14"/>
          <w:i w:val="1"/>
          <w:iCs w:val="1"/>
          <w:color w:val="auto"/>
        </w:rPr>
        <w:t>inter alia</w:t>
      </w:r>
      <w:r>
        <w:rPr>
          <w:rFonts w:ascii="Arial" w:cs="Arial" w:eastAsia="Arial" w:hAnsi="Arial"/>
          <w:sz w:val="14"/>
          <w:szCs w:val="14"/>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moved to dismiss the amended complaint, with the motion fully briefed as of February 23, 2024. On September 25, 2024, the Court issued an order granting in part and denying in part defendants’ motion to dismiss, dismissing the claims based on the Company’s growth prospects statements but allowing certain other claims to proceed. On October 9, 2024, defendants moved for reconsideration of the September 25, 2024 order and/or for certification under 28 U.S.C. § 1292(b), which motion was fully submitted as of October 30, 2024. In response to an application filed by defendants on November 19, 2024, on November 20, 2024, the Court issued an order adjourning defendants’ deadline to file an answer to the amended complaint sine die. On May 16, 2025, the Court issued an order granting Defendants’ motion to extend the time to answer the amended complaint until after the motion for reconsideration is resolved. The Court also determined that a phased approach to discovery was appropriate so as to permit the exchange of “key documents” and to promote the preservation of documents and evidence and directed the parties to submit a proposed initial discovery plan, which they did. The Court approved the initial discovery plan on June 3, 2025.</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spacing w:after="0" w:line="245" w:lineRule="auto"/>
        <w:rPr>
          <w:sz w:val="20"/>
          <w:szCs w:val="20"/>
          <w:color w:val="auto"/>
        </w:rPr>
      </w:pPr>
      <w:r>
        <w:rPr>
          <w:rFonts w:ascii="Arial" w:cs="Arial" w:eastAsia="Arial" w:hAnsi="Arial"/>
          <w:sz w:val="14"/>
          <w:szCs w:val="14"/>
          <w:color w:val="auto"/>
        </w:rPr>
        <w:t>On September 12, 2025, the Court issued an order granting in part and denying in part defendants’ motion for reconsideration, dismissing all remaining claims except those based on fulfillment costs. Following the order, defendants filed their answers to the amended complaint on October 6, 2025. On October 16, 2025, defendants requested, per the Court’s rules, a pre-motion conference in connection with their anticipated motion for judgment on the pleadings, which plaintiffs opposed. On October 24, 2025, the Court ordered briefing on defendants’ motion for judgment on the pleadings. On November 12, 2025, plaintiffs filed a letter motion seeking an order allowing discovery to proceed during the pendency of defendants’ motion for judgment on the pleadings, which defendants opposed on November 21, 2025. On December 3, 2025, the Court issued an order directing a limited “second phase” of discovery to proceed pending the outcome of defendants’ motion for judgment on the pleadings, focusing on a limited category of information appropriately cabined by the scope of plaintiffs’ remaining claims. On February 17, 2026, the parties submitted a joint letter to the court concerning plaintiffs’ request for further discovery. On March 3, 2026, the court issued an order requiring that, by March 31, 2026, the Company produce those documents it proposed to produce as part of the “second phase” discovery and rejected plaintiffs’ request for additional documents. The Company completed production of “second phase” documents on March 31, 2026. On May 19, 2026, the parties submitted a joint request to the court to stay all proceedings in the matter pending conclusion of the parties’ mediation process. On May 20, 2026, the court temporarily stayed the case until July 13, 2026 and directed the parties to file a status letter or stipulation of dismissal if settlement is reached by July 14, 2026. The Company intends to vigorously defend itself against these claims as necessary. The Company believes it has meritorious defenses to the claims asserted in the amended complaint and any liability for such claims is not currently probable and the potential loss or range of loss is not reasonably estimable.</w:t>
      </w:r>
    </w:p>
    <w:p>
      <w:pPr>
        <w:spacing w:after="0" w:line="60" w:lineRule="exact"/>
        <w:rPr>
          <w:sz w:val="20"/>
          <w:szCs w:val="20"/>
          <w:color w:val="auto"/>
        </w:rPr>
      </w:pPr>
    </w:p>
    <w:p>
      <w:pPr>
        <w:ind w:left="380" w:right="80"/>
        <w:spacing w:after="0" w:line="259" w:lineRule="auto"/>
        <w:rPr>
          <w:sz w:val="20"/>
          <w:szCs w:val="20"/>
          <w:color w:val="auto"/>
        </w:rPr>
      </w:pPr>
      <w:r>
        <w:rPr>
          <w:rFonts w:ascii="Arial" w:cs="Arial" w:eastAsia="Arial" w:hAnsi="Arial"/>
          <w:sz w:val="14"/>
          <w:szCs w:val="14"/>
          <w:color w:val="auto"/>
        </w:rPr>
        <w:t>On October 18, 2024, a purported stockholder of the Company filed a putative stockholder derivative lawsuit on behalf of the Company in the Eastern District of New York against certain of the Company’s officers and directors (“Defendants”), and nominally against the Company, entitled Bandyopadhyay v. Hyman, et al., 24-cv-7321. The complaint, which is largely predicated on the same alleged facts and violations alleged in the Securities Action, asserts claims for breach of fiduciary duty, aiding and abetting breach of fiduciary duty, unjust enrichment, waste, and contribution and indemnification and seeks an award of damages, certain equitable relief, and attorneys’ fees and costs. The lawsuit is in its preliminary stages. On December 31, 2024, the Court issued an order staying the derivative action until the resolution of any motions for summary judgment in the Securities Action or notification of a settlement in-principle in the Securities Action, whichever occurs earlier. Defendants intend to vigorously defend themselves against these claims and believe that they have meritorious defenses to the claims asserted in the complaint.</w:t>
      </w:r>
    </w:p>
    <w:p>
      <w:pPr>
        <w:spacing w:after="0" w:line="227"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93" w:lineRule="exact"/>
        <w:rPr>
          <w:rFonts w:ascii="Arial" w:cs="Arial" w:eastAsia="Arial" w:hAnsi="Arial"/>
          <w:sz w:val="14"/>
          <w:szCs w:val="14"/>
          <w:b w:val="1"/>
          <w:bCs w:val="1"/>
          <w:color w:val="auto"/>
        </w:rPr>
      </w:pPr>
    </w:p>
    <w:p>
      <w:pPr>
        <w:ind w:left="380" w:right="2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On May 12, 2026, Jennifer Hyman, the Company’s Chief Executive Officer and President of the Company, resigned effective as of May 15, 2026. Pursuant to the Separation, Advisor and Release Agreement between Jennifer Hyman and the Company dated May 12, 2026, she will receive a monthly advisory fee of $62,500 through January 31, 2027, and the payment of $1,587,000 made in October 2025 will vest and no longer be subject to clawback. Additionally, 103,047 restricted stock units will accelerate and vest as of May 25, 2026 resulting in approximately $457,000 of share-based compensation expense to be recognized during the three months ended July 31, 2026. A number of the restricted stock units granted in December 2025, having an aggregate value of $375,000 will remain outstanding and eligible to vest on January, 31, 2027, subject to her continued service with the Company through January 31, 2027.</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The Company will account for this award as a liability-classified award, remeasure its fair value at each subsequent reporting date, and recognize the related expense through January 31, 2027.</w:t>
      </w:r>
    </w:p>
    <w:p>
      <w:pPr>
        <w:spacing w:after="0" w:line="35"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The Company appointed Teri Bariquit as interim Chief Executive Officer and President effective as of May 15, 2026. Pursuant to the Statement of Work between Teri Bariquit and the Company dated May 12, 2026, she will receive a monthly consulting fee of $50,000, an annual bonus of up to $125,000, and a performance stock unit award comprising 100,000 shares of the Company’s Class A common stock.</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 May 18, 2026, Sid Thacker, the Company’s Chief Financial Officer, resigned effective on or about June 3, 2026.</w:t>
      </w:r>
    </w:p>
    <w:p>
      <w:pPr>
        <w:spacing w:after="0" w:line="94" w:lineRule="exact"/>
        <w:rPr>
          <w:sz w:val="20"/>
          <w:szCs w:val="20"/>
          <w:color w:val="auto"/>
        </w:rPr>
      </w:pPr>
    </w:p>
    <w:p>
      <w:pPr>
        <w:ind w:left="380" w:right="20"/>
        <w:spacing w:after="0" w:line="290" w:lineRule="auto"/>
        <w:rPr>
          <w:sz w:val="20"/>
          <w:szCs w:val="20"/>
          <w:color w:val="auto"/>
        </w:rPr>
      </w:pPr>
      <w:r>
        <w:rPr>
          <w:rFonts w:ascii="Arial" w:cs="Arial" w:eastAsia="Arial" w:hAnsi="Arial"/>
          <w:sz w:val="14"/>
          <w:szCs w:val="14"/>
          <w:color w:val="auto"/>
        </w:rPr>
        <w:t>On June 3, 2026, the Company appointed David Loretta as interim Chief Financial Officer and Treasurer effective as of June 8, 2026. He will receive an annual base salary of $540,000 and will be eligible to receive a target cash bonus of 35% of his annual base salary for the current fiscal year, pro-rated based on his tenure with the Company.</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is conducting a search for a permanent Chief Executive Officer and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spacing w:after="0" w:line="264"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2026 and the related Management’s Discussion and Analysis of Financial Condition and Results of Operations in our Annual Report on Form 10-K for the fiscal year ended January 31, 2026 (the “2025 Annual Report on Form 10-K”).</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3.5 million lifetime customers across all of our offerings and we had 196,147 ending Total Subscribers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(active and paused) as of April 30, 2026. We had 155,692 Active Subscribers as of April 30, 2026. The majority of our revenue is highly recurring and is generated by our subscribers. For the three months ended April 30, 2026 and 2025, respectively, 90% and 88% of our total revenue (including Reserve and Resale revenue) was generated by subscribers while they were active or paused.</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rental items at a fraction of their retail or comparable value, creating an attractive price and value proposition for our subscribers and customers.</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Fiscal First Quarter and Recent Business Highlights:</w:t>
      </w:r>
    </w:p>
    <w:p>
      <w:pPr>
        <w:spacing w:after="0" w:line="92" w:lineRule="exact"/>
        <w:rPr>
          <w:sz w:val="20"/>
          <w:szCs w:val="20"/>
          <w:color w:val="auto"/>
        </w:rPr>
      </w:pPr>
    </w:p>
    <w:p>
      <w:pPr>
        <w:ind w:left="380" w:right="20" w:hanging="248"/>
        <w:spacing w:after="0" w:line="265" w:lineRule="auto"/>
        <w:tabs>
          <w:tab w:leader="none" w:pos="376"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Expanded Personalized Discovery Across the RTR Platform</w:t>
      </w:r>
      <w:r>
        <w:rPr>
          <w:rFonts w:ascii="Arial" w:cs="Arial" w:eastAsia="Arial" w:hAnsi="Arial"/>
          <w:sz w:val="14"/>
          <w:szCs w:val="14"/>
          <w:color w:val="auto"/>
        </w:rPr>
        <w:t>: In April 2026, we launched personalized carousels across our platform, now live for all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Customers can now discover items similar to their recent favorites and explore a curated “For You” feed tailored to their individual style preferences. These enhancements are designed to reduce friction in discovery, save her time, and make every visit feel more personalized, and we are seeing a 11% increase in hearting behavior on the home page for active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34747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2" w:lineRule="exact"/>
        <w:rPr>
          <w:sz w:val="20"/>
          <w:szCs w:val="20"/>
          <w:color w:val="auto"/>
        </w:rPr>
      </w:pPr>
    </w:p>
    <w:p>
      <w:pPr>
        <w:ind w:right="40" w:firstLine="5"/>
        <w:spacing w:after="0" w:line="194" w:lineRule="auto"/>
        <w:tabs>
          <w:tab w:leader="none" w:pos="108" w:val="left"/>
        </w:tabs>
        <w:numPr>
          <w:ilvl w:val="0"/>
          <w:numId w:val="17"/>
        </w:numPr>
        <w:rPr>
          <w:rFonts w:ascii="Arial" w:cs="Arial" w:eastAsia="Arial" w:hAnsi="Arial"/>
          <w:sz w:val="22"/>
          <w:szCs w:val="22"/>
          <w:color w:val="auto"/>
          <w:vertAlign w:val="superscript"/>
        </w:rPr>
      </w:pPr>
      <w:r>
        <w:rPr>
          <w:rFonts w:ascii="Arial" w:cs="Arial" w:eastAsia="Arial" w:hAnsi="Arial"/>
          <w:sz w:val="11"/>
          <w:szCs w:val="11"/>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left="380" w:right="340" w:hanging="248"/>
        <w:spacing w:after="0" w:line="260" w:lineRule="auto"/>
        <w:tabs>
          <w:tab w:leader="none" w:pos="376" w:val="left"/>
        </w:tabs>
        <w:numPr>
          <w:ilvl w:val="1"/>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Enhanced Visual Experience with AI-Driven Imagery: </w:t>
      </w:r>
      <w:r>
        <w:rPr>
          <w:rFonts w:ascii="Arial" w:cs="Arial" w:eastAsia="Arial" w:hAnsi="Arial"/>
          <w:sz w:val="14"/>
          <w:szCs w:val="14"/>
          <w:color w:val="auto"/>
        </w:rPr>
        <w:t>In April 2026, we significantly improved imagery across our platform by moving away from outdated visuals and</w:t>
      </w:r>
      <w:r>
        <w:rPr>
          <w:rFonts w:ascii="Arial" w:cs="Arial" w:eastAsia="Arial" w:hAnsi="Arial"/>
          <w:sz w:val="14"/>
          <w:szCs w:val="14"/>
          <w:b w:val="1"/>
          <w:bCs w:val="1"/>
          <w:color w:val="auto"/>
        </w:rPr>
        <w:t xml:space="preserve"> </w:t>
      </w:r>
      <w:r>
        <w:rPr>
          <w:rFonts w:ascii="Arial" w:cs="Arial" w:eastAsia="Arial" w:hAnsi="Arial"/>
          <w:sz w:val="14"/>
          <w:szCs w:val="14"/>
          <w:color w:val="auto"/>
        </w:rPr>
        <w:t>introducing more relatable, true-to-life imagery designed to help customers better envision themselves wearing each item. These updates are intended to improve engagement, product discovery, and rental confidence across the customer journey, and increased views on these tried and true styles by 129%.</w:t>
      </w:r>
    </w:p>
    <w:p>
      <w:pPr>
        <w:ind w:left="380" w:right="60" w:hanging="248"/>
        <w:spacing w:after="0" w:line="253" w:lineRule="auto"/>
        <w:tabs>
          <w:tab w:leader="none" w:pos="376" w:val="left"/>
        </w:tabs>
        <w:numPr>
          <w:ilvl w:val="1"/>
          <w:numId w:val="18"/>
        </w:numPr>
        <w:rPr>
          <w:rFonts w:ascii="Arial" w:cs="Arial" w:eastAsia="Arial" w:hAnsi="Arial"/>
          <w:sz w:val="14"/>
          <w:szCs w:val="14"/>
          <w:color w:val="auto"/>
        </w:rPr>
      </w:pPr>
      <w:r>
        <w:rPr>
          <w:rFonts w:ascii="Arial" w:cs="Arial" w:eastAsia="Arial" w:hAnsi="Arial"/>
          <w:sz w:val="14"/>
          <w:szCs w:val="14"/>
          <w:b w:val="1"/>
          <w:bCs w:val="1"/>
          <w:color w:val="auto"/>
        </w:rPr>
        <w:t>Advancing AI-Powered Outfit Discovery</w:t>
      </w:r>
      <w:r>
        <w:rPr>
          <w:rFonts w:ascii="Arial" w:cs="Arial" w:eastAsia="Arial" w:hAnsi="Arial"/>
          <w:sz w:val="14"/>
          <w:szCs w:val="14"/>
          <w:color w:val="auto"/>
        </w:rPr>
        <w:t>: In May 2026, we began internal testing of outfit generation capabilities, enabling RTR to recommend complete looks rather than</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 items. We expect to roll out this functionality to subscribers in the coming months and believe it has the potential to meaningfully transform how customers discover and rent on RTR.</w:t>
      </w:r>
    </w:p>
    <w:p>
      <w:pPr>
        <w:ind w:left="380" w:right="220" w:hanging="375"/>
        <w:spacing w:after="0" w:line="261" w:lineRule="auto"/>
        <w:tabs>
          <w:tab w:leader="none" w:pos="37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Continued Progress Across New Revenue Stream Initiatives</w:t>
      </w:r>
      <w:r>
        <w:rPr>
          <w:rFonts w:ascii="Arial" w:cs="Arial" w:eastAsia="Arial" w:hAnsi="Arial"/>
          <w:sz w:val="14"/>
          <w:szCs w:val="14"/>
          <w:color w:val="auto"/>
        </w:rPr>
        <w:t>: We continue to advance a set of early-stage growth initiatives across our online marketplace, advertising</w:t>
      </w:r>
      <w:r>
        <w:rPr>
          <w:rFonts w:ascii="Arial" w:cs="Arial" w:eastAsia="Arial" w:hAnsi="Arial"/>
          <w:sz w:val="14"/>
          <w:szCs w:val="14"/>
          <w:b w:val="1"/>
          <w:bCs w:val="1"/>
          <w:color w:val="auto"/>
        </w:rPr>
        <w:t xml:space="preserve"> </w:t>
      </w:r>
      <w:r>
        <w:rPr>
          <w:rFonts w:ascii="Arial" w:cs="Arial" w:eastAsia="Arial" w:hAnsi="Arial"/>
          <w:sz w:val="14"/>
          <w:szCs w:val="14"/>
          <w:color w:val="auto"/>
        </w:rPr>
        <w:t>and media platform, and B2B business. Across each initiative introduced last quarter, we have moved from pilot programs to early operational progress and revenue generation.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three months ended April 30, 2026 and 2025, respectively:</w:t>
      </w:r>
    </w:p>
    <w:p>
      <w:pPr>
        <w:spacing w:after="0" w:line="200" w:lineRule="exact"/>
        <w:rPr>
          <w:sz w:val="20"/>
          <w:szCs w:val="20"/>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Revenue was $89.9 million and $69.6 million, respectively, representing 29.2% growth year-over-year;</w:t>
      </w:r>
    </w:p>
    <w:p>
      <w:pPr>
        <w:spacing w:after="0" w:line="91"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155,692 and 147,157 ending Active Subscribers</w:t>
      </w:r>
      <w:r>
        <w:rPr>
          <w:rFonts w:ascii="Arial" w:cs="Arial" w:eastAsia="Arial" w:hAnsi="Arial"/>
          <w:sz w:val="18"/>
          <w:szCs w:val="18"/>
          <w:color w:val="auto"/>
          <w:vertAlign w:val="superscript"/>
        </w:rPr>
        <w:t>2</w:t>
      </w:r>
      <w:r>
        <w:rPr>
          <w:rFonts w:ascii="Arial" w:cs="Arial" w:eastAsia="Arial" w:hAnsi="Arial"/>
          <w:sz w:val="14"/>
          <w:szCs w:val="14"/>
          <w:color w:val="auto"/>
        </w:rPr>
        <w:t>, respectively, representing an increase of 5.8% year-over-year;</w:t>
      </w:r>
    </w:p>
    <w:p>
      <w:pPr>
        <w:spacing w:after="0" w:line="47"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149,744 and 133,468 Average Active Subscribers</w:t>
      </w:r>
      <w:r>
        <w:rPr>
          <w:rFonts w:ascii="Arial" w:cs="Arial" w:eastAsia="Arial" w:hAnsi="Arial"/>
          <w:sz w:val="18"/>
          <w:szCs w:val="18"/>
          <w:color w:val="auto"/>
          <w:vertAlign w:val="superscript"/>
        </w:rPr>
        <w:t>3</w:t>
      </w:r>
      <w:r>
        <w:rPr>
          <w:rFonts w:ascii="Arial" w:cs="Arial" w:eastAsia="Arial" w:hAnsi="Arial"/>
          <w:sz w:val="14"/>
          <w:szCs w:val="14"/>
          <w:color w:val="auto"/>
        </w:rPr>
        <w:t>, respectively, representing an increase of 12.2% year-over-year;</w:t>
      </w:r>
    </w:p>
    <w:p>
      <w:pPr>
        <w:spacing w:after="0" w:line="49"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196,147 and 182,209 ending Total Subscribers (including paused subscribers), respectively, representing an increase of 7.6%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Profit was $23.3 million and $21.9 million, respectively, representing a gross margin of 25.9% and 31.5%,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Loss was $(18.9) million and $(26.1) million, respectively. Net Loss as a percentage of revenue was (21.0)% and (37.5)%, respectively;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EBITDA was $(0.8) million and $(1.3) million, respectively, representing an Adjusted EBITDA margin of (0.9)% and (1.9)%, respectively;</w:t>
      </w:r>
    </w:p>
    <w:p>
      <w:pPr>
        <w:spacing w:after="0" w:line="93" w:lineRule="exact"/>
        <w:rPr>
          <w:rFonts w:ascii="Arial" w:cs="Arial" w:eastAsia="Arial" w:hAnsi="Arial"/>
          <w:sz w:val="14"/>
          <w:szCs w:val="14"/>
          <w:color w:val="auto"/>
        </w:rPr>
      </w:pPr>
    </w:p>
    <w:p>
      <w:pPr>
        <w:ind w:left="580" w:right="440" w:hanging="193"/>
        <w:spacing w:after="0" w:line="290" w:lineRule="auto"/>
        <w:tabs>
          <w:tab w:leader="none" w:pos="5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was $(3.8) million and $8.3 million, and net cash used in investing activities was $(9.8) million and $(14.7) million, respectively;</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cash (used in) provided by financing activities was $(0.2) million and $(0.7) million, respectively;</w:t>
      </w:r>
    </w:p>
    <w:p>
      <w:pPr>
        <w:spacing w:after="0" w:line="93"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as a percentage of revenue was (4.2)% and 11.9% and net cash used in investing activities as a percentage of revenue was (10.9)% and (21.1)%, respectively;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Cash and Cash Equivalents was $37.1 million and $70.4 million,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94"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or a fraction of the Wholesale cost with performance-based revenue share payments to our brand partners over time. Exclusive Designs items are designed using our data in collaboration with our brand partners. These units are manufactured through third-party partners with an upfront fee and, in most cases, minimal revenue share payments to our brand partners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34747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32" w:lineRule="exact"/>
        <w:rPr>
          <w:sz w:val="20"/>
          <w:szCs w:val="20"/>
          <w:color w:val="auto"/>
        </w:rPr>
      </w:pPr>
    </w:p>
    <w:p>
      <w:pPr>
        <w:ind w:left="100" w:hanging="95"/>
        <w:spacing w:after="0"/>
        <w:tabs>
          <w:tab w:leader="none" w:pos="100" w:val="left"/>
        </w:tabs>
        <w:numPr>
          <w:ilvl w:val="0"/>
          <w:numId w:val="20"/>
        </w:numPr>
        <w:rPr>
          <w:rFonts w:ascii="Arial" w:cs="Arial" w:eastAsia="Arial" w:hAnsi="Arial"/>
          <w:sz w:val="7"/>
          <w:szCs w:val="7"/>
          <w:color w:val="auto"/>
        </w:rPr>
      </w:pPr>
      <w:r>
        <w:rPr>
          <w:rFonts w:ascii="Arial" w:cs="Arial" w:eastAsia="Arial" w:hAnsi="Arial"/>
          <w:sz w:val="11"/>
          <w:szCs w:val="11"/>
          <w:color w:val="auto"/>
        </w:rPr>
        <w:t>Active Subscribers is defined as ending Total Subscribers as of period end, excluding paused subscribers.</w:t>
      </w:r>
    </w:p>
    <w:p>
      <w:pPr>
        <w:spacing w:after="0" w:line="33" w:lineRule="exact"/>
        <w:rPr>
          <w:sz w:val="20"/>
          <w:szCs w:val="20"/>
          <w:color w:val="auto"/>
        </w:rPr>
      </w:pPr>
    </w:p>
    <w:p>
      <w:pPr>
        <w:ind w:firstLine="5"/>
        <w:spacing w:after="0" w:line="221" w:lineRule="auto"/>
        <w:tabs>
          <w:tab w:leader="none" w:pos="72"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Our three product acquisition methods are strategic levers to manage our capital efficiency, profitability and product risk. Our Exclusive Designs channel partners with brands to acquire RTR-exclusive items at a lower cost, which are designed to generate higher profitability over time. Share by RTR meaningfully reduces our upfront purchases of rental product and de-risks our investment since we pay brands primarily based on item performance. Our Share by RTR arrangements with brands target delivering 75% to 100% of comparable Wholesale cost to the brand in the first twelve to eighteen months; however there is no minimum commitment other than the upfront payment, if applicable. Nearly all Share by RTR deals consummated after September 2020 include a cap on total potential payments to the brand partner.</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fiscal year 2025, 31% of new items were acquired through Wholesale, 57% through Share by RTR and 12% through Exclusive Designs, compared to 30% Wholesale, 48% Share by RTR and 22% Exclusive Designs in fiscal year 2024. In total, approximately 69% of new items were acquired through Share by RTR and Exclusive Designs, our more capital-efficient channels in fiscal year 2025 and approximately 70% in fiscal year 2024.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plan to acquire fewer rental product units year-over-year in fiscal year 2026 and we expect the total percentage of units acquired through our more capital-efficient channels to increase in fiscal year 2026 versus fiscal year 2025, with an increase in the percentage of units acquired through our Share by RTR and Exclusive Designs programs versus fiscal year 2025. We plan to further decrease the percentage of units acquired through Wholesale and increase the percentage of units acquired through our more capital-efficient channels over the longer term. We expect to incur lower capital expenditures for purchases of rental product in fiscal year 2026 relative to fiscal year 2025 primarily due to a lower proportion of rental product acquired through Wholesale in fiscal year 2026.</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our 2025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 and Customers</w:t>
      </w:r>
    </w:p>
    <w:p>
      <w:pPr>
        <w:spacing w:after="0" w:line="9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b w:val="1"/>
          <w:bCs w:val="1"/>
          <w:i w:val="1"/>
          <w:iCs w:val="1"/>
          <w:color w:val="auto"/>
        </w:rPr>
        <w:t xml:space="preserve">Ability to Attract and Retain Subscribers and Customers. </w:t>
      </w:r>
      <w:r>
        <w:rPr>
          <w:rFonts w:ascii="Arial" w:cs="Arial" w:eastAsia="Arial" w:hAnsi="Arial"/>
          <w:sz w:val="14"/>
          <w:szCs w:val="14"/>
          <w:color w:val="auto"/>
        </w:rPr>
        <w:t>We believe that we have a significant market opportunity to increase our base of subscribers and customers, and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long-term growth depends in large part on our continued ability to acquire and retain subscribers and customers.</w:t>
      </w:r>
    </w:p>
    <w:p>
      <w:pPr>
        <w:spacing w:after="0" w:line="3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Customer acquisition is dependent on organic growth, the effectiveness of our paid marketing strategy and the availability of and satisfaction with our rental product. We are focused on our community-driven organic growth marketing strategy that is intended to drive improved brand awareness and acquisition. Our acquisitions are also reliant on new customer promotions. Our promotional strategy is subject to change depending on business and market conditions.</w:t>
      </w:r>
    </w:p>
    <w:p>
      <w:pPr>
        <w:spacing w:after="0" w:line="150"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We believe customer retention plays an important role in driving business growth. Customer retention is influenced by a number of factors, including rental product in-stock levels and satisfaction, product experience, and customer service levels. In fiscal year 2025, we approximately doubled the quantity of our rental product acquisitions year-over-year and enhanced the desirability of rental product acquisitions, which we believe increased customer satisfaction and improved retention versus fiscal year 2024. We also focused on new product features as well as a more personalized customer experience. In fiscal year 2026, we expect to continue to make efforts to increase customer retention through improved customer experience with our rental product as well as new product features.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187"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b w:val="1"/>
          <w:bCs w:val="1"/>
          <w:i w:val="1"/>
          <w:iCs w:val="1"/>
          <w:color w:val="auto"/>
        </w:rPr>
        <w:t xml:space="preserve">Ability to Acquire, Manage and Monetize Products Efficiently. </w:t>
      </w:r>
      <w:r>
        <w:rPr>
          <w:rFonts w:ascii="Arial" w:cs="Arial" w:eastAsia="Arial" w:hAnsi="Arial"/>
          <w:sz w:val="14"/>
          <w:szCs w:val="14"/>
          <w:color w:val="auto"/>
        </w:rPr>
        <w:t>Our ability to deliver an elevated experience for our subscribers and customers that keeps them loyal to RTR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depends on us having the right assortment.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2025, approximately 69% of new items were acquired through our more capital efficient non-Wholesale channels, compared to 70% in fiscal year 2024 and 61% in fiscal year 2023. We plan to further increase the percentage of units acquired through Exclusive Designs and Share by RTR on a combined basis in fiscal year 2026. We continuously evaluate our product acquisition mix to maximize our strategic priorities.</w:t>
      </w:r>
    </w:p>
    <w:p>
      <w:pPr>
        <w:spacing w:after="0" w:line="153" w:lineRule="exact"/>
        <w:rPr>
          <w:sz w:val="20"/>
          <w:szCs w:val="20"/>
          <w:color w:val="auto"/>
        </w:rPr>
      </w:pPr>
    </w:p>
    <w:p>
      <w:pPr>
        <w:ind w:right="280"/>
        <w:spacing w:after="0" w:line="242" w:lineRule="auto"/>
        <w:rPr>
          <w:sz w:val="20"/>
          <w:szCs w:val="20"/>
          <w:color w:val="auto"/>
        </w:rPr>
      </w:pPr>
      <w:r>
        <w:rPr>
          <w:rFonts w:ascii="Arial" w:cs="Arial" w:eastAsia="Arial" w:hAnsi="Arial"/>
          <w:sz w:val="14"/>
          <w:szCs w:val="14"/>
          <w:color w:val="auto"/>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2025 increased to 23% from 16% in fiscal year 2024, despite higher Share by RTR units as a percentage of total receipts, as a result of our strategy to approximately double the quantity of rental product purchases versus fiscal year 2024. Purchases of rental product as a percentage of revenue was 16% and 26% in fiscal year 2024 and 2023, respectively. We anticipate this percentage to decrease in fiscal year 2026 compared with fiscal year 2025 primarily due to a decrease in the proportion of units acquired through our Wholesale channel. Due to seasonality factors, we track our progress on purchases of rental product as a percentage of revenue on a full year basis, as quarterly expenditures are not necessarily reflective of full year trends.</w:t>
      </w:r>
    </w:p>
    <w:p>
      <w:pPr>
        <w:spacing w:after="0" w:line="70" w:lineRule="exact"/>
        <w:rPr>
          <w:sz w:val="20"/>
          <w:szCs w:val="20"/>
          <w:color w:val="auto"/>
        </w:rPr>
      </w:pPr>
    </w:p>
    <w:p>
      <w:pPr>
        <w:ind w:right="340"/>
        <w:spacing w:after="0" w:line="271"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order volume increases and as we make investments to grow subscribers and revenue and to enhance the customer experience. Though we anticipate quarterly fluctuations in operating leverage, over time we anticipate that our operating costs will grow more slowly than our total revenue on an annual basis.</w:t>
      </w:r>
    </w:p>
    <w:p>
      <w:pPr>
        <w:spacing w:after="0" w:line="49"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focus on growing and scaling our business.</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Over time, we expect to improve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See also “Note 3 — Liquidity” and “Note 6 - Long-Term Debt” in the Notes to the Condensed Consolidated Financial Statements for more details regarding our New Credit Agreement and Recapitalization Transactions, which we expect to improve our overall liquidity.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177"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December and January. From time to time, our seasonality patterns have been impacted due to the effects of COVID-19, the macro environment, and business decisions and may in the future continue to evolve and not reflect historical trends. Examples of business decisions that have impacted seasonality in prior periods include, but are not limited to, changes in prices for our Subscription programs, changes in timing and amounts of promotional spending, changes in timing and amounts of paid marketing spending, and changes in timing and quantity of rental product availability. It is difficult to predict all of relevant reasons and ways that seasonality trends could change in the future.</w:t>
      </w:r>
    </w:p>
    <w:p>
      <w:pPr>
        <w:spacing w:after="0" w:line="57"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Macro and Consumer Environment on Our Business</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several factors, including inflationary pressures, global trade policies and tariffs, higher interest rates, potential risk of recession, ongoing industry-wide supply chain issues, instability in the financial system, and the wars in Ukraine and the Middle East. These factors have impacted, and are expected to continue to impact, consumer discretionary spending and purchasing behavior, price sensitivity, wage rates, transportation costs, rental product costs, and other costs associated with our business.</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4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we increased wage rates during the first quarter of fiscal years 2025 and 2026 to attract and retain talent at our fulfillment centers. We expect to continue to be impacted by rising labor costs in the future. In addition, we implemented a price increase for our subscription plans in August 2025 and implemented a new shipping charge for subscription plans in June 2026 in response to increasing shipping costs from carriers. We expect the shipping charge to be temporary; however, we expect to implement pricing increases and/or new or additional fees in the future if costs continue to rise. We aim to continue to mitigate longer-term rising costs through a variety of methods, including by seeking to optimize shipping methods and improve contractual and pricing terms. However, the global trade environment is unpredictable and evolving and macroeconomic or geopolitical developments have in the past and, may in the future, negatively impact our ability to meet our current expectations and objectives, including due to unfavorable policies and tariffs, and rising shipping costs. In addition, steps we take may not fully mitigate rising costs. For example, the conflict in the Middle East has led to fuel surcharges that have increased our shipping costs, which are likely to continue to increase if the conflict continues. As a result, it is also difficult to predict what transportation costs as a percentage of Revenue will be in fiscal year 2026. Although we continue to face a challenging and unpredictable environment, we plan to invest in our customers, manage our staffing, and further leverage our transportation partners to help to drive growth and efficiencies in our business.</w:t>
      </w:r>
    </w:p>
    <w:p>
      <w:pPr>
        <w:spacing w:after="0" w:line="63"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49"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For additional details about key factors affecting our performance, see our 2025 Annual Report on Form 10-K and Part II, Item 1A, “Risk Factors” of this Quarterly Report on Form 10-Q.</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and Financial Metrics</w:t>
      </w:r>
    </w:p>
    <w:p>
      <w:pPr>
        <w:spacing w:after="0" w:line="18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40" w:type="dxa"/>
            <w:vAlign w:val="bottom"/>
          </w:tcPr>
          <w:p>
            <w:pPr>
              <w:spacing w:after="0"/>
              <w:rPr>
                <w:sz w:val="13"/>
                <w:szCs w:val="13"/>
                <w:color w:val="auto"/>
              </w:rPr>
            </w:pPr>
          </w:p>
        </w:tc>
        <w:tc>
          <w:tcPr>
            <w:tcW w:w="24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Three Months Ended April 30,</w:t>
            </w:r>
          </w:p>
        </w:tc>
        <w:tc>
          <w:tcPr>
            <w:tcW w:w="600" w:type="dxa"/>
            <w:vAlign w:val="bottom"/>
            <w:tcBorders>
              <w:bottom w:val="single" w:sz="8" w:color="auto"/>
            </w:tcBorders>
          </w:tcPr>
          <w:p>
            <w:pPr>
              <w:spacing w:after="0"/>
              <w:rPr>
                <w:sz w:val="13"/>
                <w:szCs w:val="13"/>
                <w:color w:val="auto"/>
              </w:rPr>
            </w:pPr>
          </w:p>
        </w:tc>
      </w:tr>
      <w:tr>
        <w:trPr>
          <w:trHeight w:val="150"/>
        </w:trPr>
        <w:tc>
          <w:tcPr>
            <w:tcW w:w="80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r>
      <w:tr>
        <w:trPr>
          <w:trHeight w:val="150"/>
        </w:trPr>
        <w:tc>
          <w:tcPr>
            <w:tcW w:w="8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2"/>
          </w:tcPr>
          <w:p>
            <w:pPr>
              <w:jc w:val="right"/>
              <w:ind w:right="513"/>
              <w:spacing w:after="0"/>
              <w:rPr>
                <w:sz w:val="20"/>
                <w:szCs w:val="20"/>
                <w:color w:val="auto"/>
              </w:rPr>
            </w:pPr>
            <w:r>
              <w:rPr>
                <w:rFonts w:ascii="Arial" w:cs="Arial" w:eastAsia="Arial" w:hAnsi="Arial"/>
                <w:sz w:val="11"/>
                <w:szCs w:val="11"/>
                <w:b w:val="1"/>
                <w:bCs w:val="1"/>
                <w:color w:val="auto"/>
              </w:rPr>
              <w:t>($ in millions)</w:t>
            </w:r>
          </w:p>
        </w:tc>
        <w:tc>
          <w:tcPr>
            <w:tcW w:w="600" w:type="dxa"/>
            <w:vAlign w:val="bottom"/>
          </w:tcPr>
          <w:p>
            <w:pPr>
              <w:spacing w:after="0"/>
              <w:rPr>
                <w:sz w:val="13"/>
                <w:szCs w:val="13"/>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Subscribers</w:t>
            </w: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155,692</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147,157</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Average Active Subscribers</w:t>
            </w:r>
          </w:p>
        </w:tc>
        <w:tc>
          <w:tcPr>
            <w:tcW w:w="88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149,744</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133,468</w:t>
            </w:r>
          </w:p>
        </w:tc>
      </w:tr>
      <w:tr>
        <w:trPr>
          <w:trHeight w:val="18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23.3</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35"/>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(18.9)</w:t>
            </w:r>
          </w:p>
        </w:tc>
        <w:tc>
          <w:tcPr>
            <w:tcW w:w="94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(26.1)</w:t>
            </w:r>
          </w:p>
        </w:tc>
      </w:tr>
      <w:tr>
        <w:trPr>
          <w:trHeight w:val="18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(1)</w:t>
            </w: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right="160" w:hanging="255"/>
        <w:spacing w:after="0" w:line="288" w:lineRule="auto"/>
        <w:tabs>
          <w:tab w:leader="none" w:pos="249" w:val="left"/>
        </w:tabs>
        <w:numPr>
          <w:ilvl w:val="0"/>
          <w:numId w:val="22"/>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U.S. GAAP financial measure, net loss, and why we consider Adjusted EBITDA to be a useful metric, see “—Non-GAAP Financial Metrics” below.</w:t>
      </w:r>
    </w:p>
    <w:p>
      <w:pPr>
        <w:spacing w:after="0" w:line="8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April 30, 2026, we had 155,692 Active Subscribers, an increase from 147,157 as of April 30, 2025. The increase in Active Subscribers was driven primarily by a higher base of active subscribers at the end of the fourth quarter of fiscal year 2025 compared to the fourth quarter of fiscal year 2024, in addition to higher subscriber acquisitions partially offset by a year-over-year increase in the rate of pause and year-over-year decrease in retention.</w:t>
      </w:r>
    </w:p>
    <w:p>
      <w:pPr>
        <w:spacing w:after="0" w:line="159"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b w:val="1"/>
          <w:bCs w:val="1"/>
          <w:color w:val="auto"/>
        </w:rPr>
        <w:t xml:space="preserve">Average Active Subscribers: </w:t>
      </w:r>
      <w:r>
        <w:rPr>
          <w:rFonts w:ascii="Arial" w:cs="Arial" w:eastAsia="Arial" w:hAnsi="Arial"/>
          <w:sz w:val="14"/>
          <w:szCs w:val="14"/>
          <w:color w:val="auto"/>
        </w:rPr>
        <w:t>Average Active Subscribers represents the mean of the beginning of quarter and end of quarter Active Subscribers for a quarterly period;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periods, represents the mean of the Average Active Subscribers of every quarter within that period. As of April 30, 2026, we had 149,744 Average Active Subscribers, an increase from 133,468 as of April 30, 2025. The year-over-year increase in Average Active Subscribers was primarily due to a higher base of active subscribers at the end of the fourth quarter of fiscal year 2025 compared to the fourth quarter of fiscal year 2024, in addition to higher subscriber acquisitions partially offset by a year-over-year increase in the rate of pause and year-over-year decrease in retention.</w:t>
      </w:r>
    </w:p>
    <w:p>
      <w:pPr>
        <w:spacing w:after="0" w:line="16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r>
        <w:rPr>
          <w:rFonts w:ascii="Arial" w:cs="Arial" w:eastAsia="Arial" w:hAnsi="Arial"/>
          <w:sz w:val="14"/>
          <w:szCs w:val="14"/>
          <w:b w:val="1"/>
          <w:bCs w:val="1"/>
          <w:color w:val="auto"/>
        </w:rPr>
        <w:t xml:space="preserve"> </w:t>
      </w:r>
      <w:r>
        <w:rPr>
          <w:rFonts w:ascii="Arial" w:cs="Arial" w:eastAsia="Arial" w:hAnsi="Arial"/>
          <w:sz w:val="14"/>
          <w:szCs w:val="14"/>
          <w:color w:val="auto"/>
        </w:rPr>
        <w:t>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6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Gross Profit was $23.3 million for the three months ended April 30, 2026 compared to $21.9 million for the three months ended April 30, 2025, representing Gross Margins of 25.9% and 31.5%, respectively. Gross Profit for the three months ended April 30, 2026 increased primarily due to higher Revenue partially offset by higher Rental Product Depreciation and Revenue Share costs, as well as higher Fulfillment expenses. Gross Margin for the three months ended April 30, 2026 decreased primarily due to higher Rental Product Depreciation and Revenue Share costs as a percentage of Revenue partially offset by lower Fulfillment costs as a percentage of Revenue.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loss, adjusted to exclude interest expense, rental product depreciation, other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amortization, share-based compensation expense, write-off of liquidated assets, non-recurring adjustments, non-ordinary course legal expenses, income tax (benefit) expense, other income and expense, and other gains / losses. Adjusted EBITDA margin is defined as Adjusted EBITDA calculated as a percentage of total revenue, net for a period.</w:t>
      </w:r>
    </w:p>
    <w:p>
      <w:pPr>
        <w:spacing w:after="0" w:line="155"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Net Loss was $(18.9) million for the three months ended April 30, 2026 compared to $(26.1) million for the three months ended April 30, 2025, representing margins of (21.0)% and (37.5)%, respectively. Net Loss decreased year-over-year primarily due to lower reported Interest Expense, higher Gross Profit, and lower Marketing and Technology costs partially offset by higher General and Administrative expenses. Adjusted EBITDA was $(0.8) million for the three months ended April 30, 2026 compared to $(1.3) million for the three months ended April 30, 2025, representing margins of (0.9)% and (1.9)%, respectively. Adjusted EBITDA increased year-over-year primarily due to higher Revenue partially offset by higher Revenue Share costs within Rental Product Depreciation and Revenue Share, Fulfillment costs, and higher General and Administrative Expenses. Adjusted EBITDA Margin increased year-over-year primarily due to lower Technology, Marketing, and General and Administrative expenses as a percentage of Revenue partially offset by higher Revenue Share expenses as a percentage of Revenue.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believe we have the opportunity to improve Adjusted EBITDA and offset cost increases as we increase Revenue and drive operating expense leverage.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79"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Our total revenue, net consists of Subscription and Reserve rental revenue and Other revenue. Total revenue is presented net of promotional discounts,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credits and refunds and taxes.</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We generate Subscription and Reserve rental revenue from Subscription and Reserve rental fees. The majority of our revenue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generated by our Subscription offering, which we are prioritizing.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implemented a price increase for our subscription plans in August 2025, which increased revenue per subscriber in the third quarter of fiscal year 2025 and which we expect will continue to do so over the coming quarters. We also implemented a shipping charge for subscription plans in June 2026 which we expect to be temporary. This charge is expected to increase revenue per subscriber beginning in Q2 2026.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43"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and business development initiatives which may cause quarterly fluctuations in the Other revenue line.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87" w:lineRule="exact"/>
        <w:rPr>
          <w:sz w:val="20"/>
          <w:szCs w:val="20"/>
          <w:color w:val="auto"/>
        </w:rPr>
      </w:pPr>
    </w:p>
    <w:p>
      <w:pPr>
        <w:ind w:right="160"/>
        <w:spacing w:after="0"/>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See section “Impact of Macro and Consumer Environment on Our Business” for discussion of macroeconomic considerations. Fulfillment expense may also increase due to competitive pressures in the labor market which could lead to continued higher wage rates. We expect to continue to invest in</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automation and other process improvements to support and drive efficiencies in our operations. To the extent we are successful in becoming more efficient in fulfilling orders, and at a magnitude that is able to offset long-term increases in shipping costs, wage rates and cleaning/packing supply price increases, we would expect these expenses to decrease as a</w:t>
      </w:r>
    </w:p>
    <w:p>
      <w:pPr>
        <w:spacing w:after="0"/>
        <w:rPr>
          <w:sz w:val="20"/>
          <w:szCs w:val="20"/>
          <w:color w:val="auto"/>
        </w:rPr>
      </w:pPr>
      <w:r>
        <w:rPr>
          <w:rFonts w:ascii="Arial" w:cs="Arial" w:eastAsia="Arial" w:hAnsi="Arial"/>
          <w:sz w:val="14"/>
          <w:szCs w:val="14"/>
          <w:color w:val="auto"/>
        </w:rPr>
        <w:t>percentage of total revenue over the longer term.</w:t>
      </w:r>
    </w:p>
    <w:p>
      <w:pPr>
        <w:spacing w:after="0" w:line="165"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consist of personnel and related costs for employees engaged in software development and engineering, quality assurance,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161"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influencer marketing, printed collateral, consumer research, and other related costs. Marketing expenses unrelated to personnel costs may increase if we increase marketing spend to drive the growth of our business and increase our brand awareness.</w:t>
      </w:r>
    </w:p>
    <w:p>
      <w:pPr>
        <w:spacing w:after="0" w:line="13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 occupancy costs (including warehouse-related), professional services, credit card fees, general corporate and warehouse expenses, other administrative costs, and gains and losses associated with asset disposals and operating lease terminations.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14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142"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b w:val="1"/>
          <w:bCs w:val="1"/>
          <w:i w:val="1"/>
          <w:iCs w:val="1"/>
          <w:color w:val="auto"/>
        </w:rPr>
        <w:t xml:space="preserve">Interest Income / (Expense). </w:t>
      </w:r>
      <w:r>
        <w:rPr>
          <w:rFonts w:ascii="Arial" w:cs="Arial" w:eastAsia="Arial" w:hAnsi="Arial"/>
          <w:sz w:val="14"/>
          <w:szCs w:val="14"/>
          <w:color w:val="auto"/>
        </w:rPr>
        <w:t>Interest income / (expense) consists primarily of accrued paid-in-kind interest, cash interest and debt (premium) discount amortization associated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New Credit Agreement going forward. The 2023 Amended Temasek Facility eliminated all interest (both payment-in-kind and cash interest) for a period of six full fiscal quarters beginning with the fourth quarter of fiscal year 2023.</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Other Income / (Expense). </w:t>
      </w:r>
      <w:r>
        <w:rPr>
          <w:rFonts w:ascii="Arial" w:cs="Arial" w:eastAsia="Arial" w:hAnsi="Arial"/>
          <w:sz w:val="14"/>
          <w:szCs w:val="14"/>
          <w:color w:val="auto"/>
        </w:rPr>
        <w:t>Other income / (expense) consists primarily of proceeds from monetizing tax credits associated with growth and Irish refundable tax credits.</w:t>
      </w:r>
    </w:p>
    <w:p>
      <w:pPr>
        <w:spacing w:after="0" w:line="263" w:lineRule="exact"/>
        <w:rPr>
          <w:sz w:val="20"/>
          <w:szCs w:val="20"/>
          <w:color w:val="auto"/>
        </w:rPr>
      </w:pPr>
    </w:p>
    <w:p>
      <w:pPr>
        <w:jc w:val="both"/>
        <w:ind w:right="34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and foreign taxes. We have established a valuation allowance for our U.S. federal and state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6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1"/>
                <w:szCs w:val="11"/>
                <w:b w:val="1"/>
                <w:bCs w:val="1"/>
                <w:color w:val="auto"/>
              </w:rPr>
              <w:t>Three Months Ended April 30,</w:t>
            </w:r>
          </w:p>
        </w:tc>
        <w:tc>
          <w:tcPr>
            <w:tcW w:w="480" w:type="dxa"/>
            <w:vAlign w:val="bottom"/>
            <w:tcBorders>
              <w:bottom w:val="single" w:sz="8" w:color="auto"/>
            </w:tcBorders>
          </w:tcPr>
          <w:p>
            <w:pPr>
              <w:spacing w:after="0"/>
              <w:rPr>
                <w:sz w:val="13"/>
                <w:szCs w:val="13"/>
                <w:color w:val="auto"/>
              </w:rPr>
            </w:pPr>
          </w:p>
        </w:tc>
      </w:tr>
      <w:tr>
        <w:trPr>
          <w:trHeight w:val="155"/>
        </w:trPr>
        <w:tc>
          <w:tcPr>
            <w:tcW w:w="8360" w:type="dxa"/>
            <w:vAlign w:val="bottom"/>
          </w:tcPr>
          <w:p>
            <w:pPr>
              <w:spacing w:after="0"/>
              <w:rPr>
                <w:sz w:val="13"/>
                <w:szCs w:val="13"/>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2026</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r>
      <w:tr>
        <w:trPr>
          <w:trHeight w:val="150"/>
        </w:trPr>
        <w:tc>
          <w:tcPr>
            <w:tcW w:w="83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1"/>
                <w:szCs w:val="11"/>
                <w:b w:val="1"/>
                <w:bCs w:val="1"/>
                <w:color w:val="auto"/>
              </w:rPr>
              <w:t>(in millions)</w:t>
            </w:r>
          </w:p>
        </w:tc>
        <w:tc>
          <w:tcPr>
            <w:tcW w:w="480" w:type="dxa"/>
            <w:vAlign w:val="bottom"/>
            <w:tcBorders>
              <w:bottom w:val="single" w:sz="8" w:color="auto"/>
            </w:tcBorders>
          </w:tcPr>
          <w:p>
            <w:pPr>
              <w:spacing w:after="0"/>
              <w:rPr>
                <w:sz w:val="13"/>
                <w:szCs w:val="13"/>
                <w:color w:val="auto"/>
              </w:rPr>
            </w:pPr>
          </w:p>
        </w:tc>
      </w:tr>
      <w:tr>
        <w:trPr>
          <w:trHeight w:val="16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80"/>
        </w:trPr>
        <w:tc>
          <w:tcPr>
            <w:tcW w:w="836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920" w:type="dxa"/>
            <w:vAlign w:val="bottom"/>
          </w:tcPr>
          <w:p>
            <w:pPr>
              <w:jc w:val="right"/>
              <w:ind w:right="756"/>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77.7</w:t>
            </w:r>
          </w:p>
        </w:tc>
        <w:tc>
          <w:tcPr>
            <w:tcW w:w="80" w:type="dxa"/>
            <w:vAlign w:val="bottom"/>
          </w:tcPr>
          <w:p>
            <w:pPr>
              <w:spacing w:after="0"/>
              <w:rPr>
                <w:sz w:val="15"/>
                <w:szCs w:val="15"/>
                <w:color w:val="auto"/>
              </w:rPr>
            </w:pPr>
          </w:p>
        </w:tc>
        <w:tc>
          <w:tcPr>
            <w:tcW w:w="940" w:type="dxa"/>
            <w:vAlign w:val="bottom"/>
          </w:tcPr>
          <w:p>
            <w:pPr>
              <w:jc w:val="right"/>
              <w:ind w:right="774"/>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71"/>
        </w:trPr>
        <w:tc>
          <w:tcPr>
            <w:tcW w:w="8360" w:type="dxa"/>
            <w:vAlign w:val="bottom"/>
          </w:tcPr>
          <w:p>
            <w:pPr>
              <w:ind w:left="540"/>
              <w:spacing w:after="0"/>
              <w:rPr>
                <w:sz w:val="20"/>
                <w:szCs w:val="20"/>
                <w:color w:val="auto"/>
              </w:rPr>
            </w:pPr>
            <w:r>
              <w:rPr>
                <w:rFonts w:ascii="Arial" w:cs="Arial" w:eastAsia="Arial" w:hAnsi="Arial"/>
                <w:sz w:val="14"/>
                <w:szCs w:val="14"/>
                <w:color w:val="auto"/>
              </w:rPr>
              <w:t>Total revenue, net</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89.9</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18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0"/>
        </w:trPr>
        <w:tc>
          <w:tcPr>
            <w:tcW w:w="836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836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180"/>
        </w:trPr>
        <w:tc>
          <w:tcPr>
            <w:tcW w:w="836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71"/>
        </w:trPr>
        <w:tc>
          <w:tcPr>
            <w:tcW w:w="83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costs and expenses</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r>
      <w:tr>
        <w:trPr>
          <w:trHeight w:val="171"/>
        </w:trPr>
        <w:tc>
          <w:tcPr>
            <w:tcW w:w="83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Operating loss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color w:val="auto"/>
              </w:rPr>
              <w:t>Interest income / (expense), net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8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 (expense), net</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8360" w:type="dxa"/>
            <w:vAlign w:val="bottom"/>
          </w:tcPr>
          <w:p>
            <w:pPr>
              <w:ind w:left="780"/>
              <w:spacing w:after="0"/>
              <w:rPr>
                <w:sz w:val="20"/>
                <w:szCs w:val="20"/>
                <w:color w:val="auto"/>
              </w:rPr>
            </w:pPr>
            <w:r>
              <w:rPr>
                <w:rFonts w:ascii="Arial" w:cs="Arial" w:eastAsia="Arial" w:hAnsi="Arial"/>
                <w:sz w:val="14"/>
                <w:szCs w:val="14"/>
                <w:color w:val="auto"/>
              </w:rPr>
              <w:t>Net loss before income tax benefit / (expense)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18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9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8360" w:type="dxa"/>
            <w:vAlign w:val="bottom"/>
          </w:tcPr>
          <w:p>
            <w:pPr>
              <w:ind w:left="780"/>
              <w:spacing w:after="0"/>
              <w:rPr>
                <w:sz w:val="20"/>
                <w:szCs w:val="20"/>
                <w:color w:val="auto"/>
              </w:rPr>
            </w:pPr>
            <w:r>
              <w:rPr>
                <w:rFonts w:ascii="Arial" w:cs="Arial" w:eastAsia="Arial" w:hAnsi="Arial"/>
                <w:sz w:val="14"/>
                <w:szCs w:val="14"/>
                <w:color w:val="auto"/>
              </w:rPr>
              <w:t>Net loss</w:t>
            </w: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w:t>
            </w: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April 30, 2026 and 2025</w:t>
      </w:r>
    </w:p>
    <w:p>
      <w:pPr>
        <w:spacing w:after="0" w:line="92"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$89.9 million for the three months ended April 30, 2026, an increase of $20.3 million, or 29.2%, compared to $69.6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three months ended April 30, 2025. This increase was driven by higher Subscription and Reserve rental revenue and higher Other revenue. In fiscal year 2026, we expect revenue to increase due to higher Subscription prices and a larger subscription customer base due to a particular focus on increasing our Active Subscribers year-over-year.</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$77.7 million for the three months ended April 30, 2026, an increase of $15.7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25.3%, compared to $62.0 million for the three months ended April 30, 2025. This increase was primarily driven by higher revenue per subscriber and higher average active subscribers, partially offset by lower Reserve rental revenue.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$12.2 million for the three months ended April 30, 2026, an increase of $4.6 million, or 60.5%, compared to $ 7.6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April 30, 2025. This increase was primarily driven by higher items purchased per Average Active Subscriber, higher average selling price per item and higher Average Active Subscribers. Other revenue represented 13.6% of total revenue, compared to 10.9% in the same period last year.</w:t>
      </w:r>
    </w:p>
    <w:p>
      <w:pPr>
        <w:spacing w:after="0" w:line="134"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$109.6 million for the three months ended April 30, 2026, an increase of $ 20.3 million, or 22.7%, compared to $ 89.3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three months ended April 30, 2025. This increase was primarily driven by higher Rental Product Depreciation and Revenue Share costs, higher Fulfillment costs, higher G&amp;A costs, partially offset by lower Marketing, Other Depreciation &amp; Amortization and Technology costs.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$23.6 million for the three months ended April 30, 2026, an increase of $3.2 million, or 15.7%, representing 26.3% of revenue,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$20.4 million for the three months ended April 30, 2025, representing 29.3% of revenue. The increase in fulfillment dollars was primarily driven by an increase in orders due to higher average active subscribers, higher transportation costs due to carrier rate increases, and increases in warehouse processing costs. Fulfillment costs decreased as a percentage of revenue due primarily to higher revenue per order partially offset by higher transportation and processing costs per order.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For fiscal year 2026, it is difficult to predict fulfillment costs as a percentage of Revenue.</w:t>
      </w:r>
    </w:p>
    <w:p>
      <w:pPr>
        <w:spacing w:after="0" w:line="17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$9.4 million for the three months ended April 30, 2026, a decrease of $(0.2) million, or (2.1)%, compared to $ 9.6 million for the three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months ended April 30, 2025. Technology expenses were 10.5% of revenue for the three months ended April 30, 2026 compared to 13.8% for the same period last year primarily due to operating leverage from higher Revenue. Technology related share-based compensation expense was $0.2 million for the three months ended April 30, 2026 and was $0.3 million for the same period last year.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2026, we expect technology expenses to decrease as a percentage of total revenue compared to fiscal year 2025.</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$ 8.0 million for the three months ended April 30, 2026, a decrease of $(0.6) million, or (7.0)%, compared to $8.6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April 30, 2025. This decrease was driven primarily by lower paid marketing expenses and lower marketing employee expenses. Marketing expenses unrelated to personnel costs were $7.3 million in the three months ended April 30, 2026 and 8.1% of revenue, compared to $7.9 million and 11.4% of total revenue for the same period last year.</w:t>
      </w:r>
    </w:p>
    <w:p>
      <w:pPr>
        <w:spacing w:after="0" w:line="15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In fiscal year 2026, we expect marketing expenses to increase in dollars but decrease as a percentage of total revenue compared to fiscal year 2025. The timing of our marketing expenses during the year will depend in part on the timing of marketing campaigns.</w:t>
      </w:r>
    </w:p>
    <w:p>
      <w:pPr>
        <w:spacing w:after="0" w:line="131"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$23.4 million for the three months ended April 30, 2026, an increase of $2.7 million, or 13.0%,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$20.7 million for the three months ended April 30, 2025. This increase was driven primarily by an increase in credit card fees due to the increase in revenue, an increase in employee, occupancy and other G&amp;A expenses. G&amp;A expenses as a percentage of revenue were 26.0%, compared to 29.7% last year, as we saw increased operating leverage. G&amp;A related share-based compensation expense was $1.3 million for the three months ended April 30, 2026 and was $1.2 million for the three months ended April 30, 2025.</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2026, we expect G&amp;A expenses to decrease as a percentage of total revenue compared to fiscal year 2025.</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$43.0 million for the three months ended April 30, 2026, an increase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$15.7 million, or 57.5%, compared to $27.3 million for the three months ended April 30, 2025. The increase was primarily driven by higher revenue share expenses due to higher Share by RTR units acquired and utilized during the period. Rental product depreciation and revenue share was 47.8% of revenue in the three months ended April 30, 2026, up from 39.2% in the same period last year primarily due to the factors discussed above.</w:t>
      </w:r>
    </w:p>
    <w:p>
      <w:pPr>
        <w:spacing w:after="0" w:line="13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$2.2 million for the three months ended April 30, 2026, a decrease of $ (0.5) million, or (18.5)%,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$2.7 million for the three months ended April 30, 2025. This decrease was primarily driven by lower depreciation and amortization associated with machinery and equipment.</w:t>
      </w:r>
    </w:p>
    <w:p>
      <w:pPr>
        <w:spacing w:after="0" w:line="134"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$(0.3) million for the three months ended April 30, 2026, a decrease in expense of $6.0 million, or (95.2)%,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$(6.3) million for the three months ended April 30, 2025. The decrease was driven by reduced interest expense following the New Credit Agreement, as the modification of the existing debt, which was part of the October 2025 recapitalization transactions, was accounted for as a troubled debt restructuring. This decrease was partially offset by interest expense recognized on the new term loans issued to Nexus and STORY3 as part of the recapitalization transactions and lower interest income.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$(0.3) million total interest expense in the three months ended April 30, 2026, $2.2 million related to debt premium amortization, $(2.7) million related to paid-in-kind interest, and</w:t>
      </w:r>
    </w:p>
    <w:p>
      <w:pPr>
        <w:spacing w:after="0" w:line="9"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$0.2 million was the net of interest earned, financing lease and other interest, compared to $0.6 million of the net of cash interest, interest earned, financing lease and other interest and $(6.9) million of debt discount amortization in the three months ended April 30, 2025.</w:t>
      </w:r>
    </w:p>
    <w:p>
      <w:pPr>
        <w:spacing w:after="0" w:line="156"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$1.1 million for the three months ended April 30, 2026, an increase from $0.1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April 30, 2025 primarily due to tax credits and recoveries on lost shipments.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44" w:lineRule="exact"/>
        <w:rPr>
          <w:sz w:val="20"/>
          <w:szCs w:val="20"/>
          <w:color w:val="auto"/>
        </w:rPr>
      </w:pPr>
    </w:p>
    <w:p>
      <w:pPr>
        <w:spacing w:after="0" w:line="274" w:lineRule="auto"/>
        <w:rPr>
          <w:sz w:val="20"/>
          <w:szCs w:val="20"/>
          <w:color w:val="auto"/>
        </w:rPr>
      </w:pPr>
      <w:r>
        <w:rPr>
          <w:rFonts w:ascii="Arial" w:cs="Arial" w:eastAsia="Arial" w:hAnsi="Arial"/>
          <w:sz w:val="14"/>
          <w:szCs w:val="14"/>
          <w:b w:val="1"/>
          <w:bCs w:val="1"/>
          <w:i w:val="1"/>
          <w:iCs w:val="1"/>
          <w:color w:val="auto"/>
        </w:rPr>
        <w:t xml:space="preserve">Adjusted EBITDA and Adjusted EBITDA Margin. </w:t>
      </w:r>
      <w:r>
        <w:rPr>
          <w:rFonts w:ascii="Arial" w:cs="Arial" w:eastAsia="Arial" w:hAnsi="Arial"/>
          <w:sz w:val="14"/>
          <w:szCs w:val="14"/>
          <w:color w:val="auto"/>
        </w:rPr>
        <w:t>Adjusted EBITDA and Adjusted EBITDA Margin are key performance measures used by management to assess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and the operating leverage of our business prior to capital expenditures.</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Net Loss was $(18.9) million for the three months ended April 30, 2026 compared to $(26.1) million for the three months ended April 30, 2025. Net Loss as a percentage of revenue was (21.0)%, and (37.5)% for the three months ended April 30, 2026 and 2025, respectively. Net Loss decreased year-over-year primarily due to lower reported Interest Expense, higher Gross Profit, and lower Marketing and Technology costs partially offset by higher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180"/>
        <w:spacing w:after="0" w:line="249" w:lineRule="auto"/>
        <w:rPr>
          <w:sz w:val="20"/>
          <w:szCs w:val="20"/>
          <w:color w:val="auto"/>
        </w:rPr>
      </w:pPr>
      <w:r>
        <w:rPr>
          <w:rFonts w:ascii="Arial" w:cs="Arial" w:eastAsia="Arial" w:hAnsi="Arial"/>
          <w:sz w:val="14"/>
          <w:szCs w:val="14"/>
          <w:color w:val="auto"/>
        </w:rPr>
        <w:t>Our Adjusted EBITDA was $(0.8) million for the three months ended April 30, 2026 compared to $(1.3) million for the three months ended April 30, 2025, representing margins of (0.9)% and (1.9)%, respectively. Adjusted EBITDA increased year-over-year primarily due to higher Revenue partially offset by higher Revenue Share costs within Rental Product Depreciation and Revenue Share, Fulfillment costs, and higher General and Administrative Expenses. Adjusted EBITDA Margin increased year-over-year primarily due to lower Technology, Marketing, and General and Administrative expenses as a percentage of Revenue partially offset by higher Revenue Share expenses as a percentage of Revenue.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loss, the most comparable GAAP financial measure, to Adjusted EBITDA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8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1"/>
                <w:szCs w:val="11"/>
                <w:b w:val="1"/>
                <w:bCs w:val="1"/>
                <w:color w:val="auto"/>
              </w:rPr>
              <w:t>Three Months Ended April 30,</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80" w:type="dxa"/>
            <w:vAlign w:val="bottom"/>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40" w:type="dxa"/>
            <w:vAlign w:val="bottom"/>
            <w:gridSpan w:val="3"/>
          </w:tcPr>
          <w:p>
            <w:pPr>
              <w:jc w:val="right"/>
              <w:ind w:right="634"/>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Interest (income) / expense, net (1)</w:t>
            </w:r>
          </w:p>
        </w:tc>
        <w:tc>
          <w:tcPr>
            <w:tcW w:w="98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product depreciation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Other depreciation and amortization (2)</w:t>
            </w:r>
          </w:p>
        </w:tc>
        <w:tc>
          <w:tcPr>
            <w:tcW w:w="98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(3)</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Write-off of liquidated assets (4)</w:t>
            </w:r>
          </w:p>
        </w:tc>
        <w:tc>
          <w:tcPr>
            <w:tcW w:w="98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Non-recurring adjustments (5)</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Non-ordinary course legal fees (6)</w:t>
            </w:r>
          </w:p>
        </w:tc>
        <w:tc>
          <w:tcPr>
            <w:tcW w:w="98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9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Other (income) / expense, net (7)</w:t>
            </w:r>
          </w:p>
        </w:tc>
        <w:tc>
          <w:tcPr>
            <w:tcW w:w="98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(gains) / losses (8)</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1"/>
        </w:trPr>
        <w:tc>
          <w:tcPr>
            <w:tcW w:w="80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9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as a percentage of revenue</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80" w:type="dxa"/>
            <w:vAlign w:val="bottom"/>
          </w:tcPr>
          <w:p>
            <w:pPr>
              <w:ind w:left="20"/>
              <w:spacing w:after="0" w:line="143" w:lineRule="exact"/>
              <w:rPr>
                <w:sz w:val="20"/>
                <w:szCs w:val="20"/>
                <w:color w:val="auto"/>
              </w:rPr>
            </w:pPr>
            <w:r>
              <w:rPr>
                <w:rFonts w:ascii="Arial" w:cs="Arial" w:eastAsia="Arial" w:hAnsi="Arial"/>
                <w:sz w:val="14"/>
                <w:szCs w:val="14"/>
                <w:color w:val="auto"/>
              </w:rPr>
              <w:t>Adjusted EBITDA Margin (9)</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23"/>
        </w:numPr>
        <w:rPr>
          <w:rFonts w:ascii="Arial" w:cs="Arial" w:eastAsia="Arial" w:hAnsi="Arial"/>
          <w:sz w:val="7"/>
          <w:szCs w:val="7"/>
          <w:color w:val="auto"/>
        </w:rPr>
      </w:pPr>
      <w:r>
        <w:rPr>
          <w:rFonts w:ascii="Arial" w:cs="Arial" w:eastAsia="Arial" w:hAnsi="Arial"/>
          <w:sz w:val="11"/>
          <w:szCs w:val="11"/>
          <w:color w:val="auto"/>
        </w:rPr>
        <w:t>Includes debt (premium) discount amortization of $(2.2) million in the three months ended April 30, 2026 and $6.9 million in the three months ended April 30, 2025.</w:t>
      </w:r>
    </w:p>
    <w:p>
      <w:pPr>
        <w:spacing w:after="0" w:line="64" w:lineRule="exact"/>
        <w:rPr>
          <w:rFonts w:ascii="Arial" w:cs="Arial" w:eastAsia="Arial" w:hAnsi="Arial"/>
          <w:sz w:val="7"/>
          <w:szCs w:val="7"/>
          <w:color w:val="auto"/>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Reflects non-rental product depreciation and capitalized software amortization.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Reflects the non-cash expense for share-based compensation.</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3"/>
        </w:numPr>
        <w:rPr>
          <w:rFonts w:ascii="Arial" w:cs="Arial" w:eastAsia="Arial" w:hAnsi="Arial"/>
          <w:sz w:val="15"/>
          <w:szCs w:val="15"/>
          <w:i w:val="1"/>
          <w:iCs w:val="1"/>
          <w:color w:val="auto"/>
          <w:vertAlign w:val="superscript"/>
        </w:rPr>
      </w:pPr>
      <w:r>
        <w:rPr>
          <w:rFonts w:ascii="Arial" w:cs="Arial" w:eastAsia="Arial" w:hAnsi="Arial"/>
          <w:sz w:val="11"/>
          <w:szCs w:val="11"/>
          <w:color w:val="auto"/>
        </w:rPr>
        <w:t>Non-recurring adjustments for the three months ended April 30, 2026 includes $0.1 million of costs related to public company SOX readiness.</w:t>
      </w:r>
    </w:p>
    <w:p>
      <w:pPr>
        <w:spacing w:after="0" w:line="63" w:lineRule="exact"/>
        <w:rPr>
          <w:rFonts w:ascii="Arial" w:cs="Arial" w:eastAsia="Arial" w:hAnsi="Arial"/>
          <w:sz w:val="15"/>
          <w:szCs w:val="15"/>
          <w:i w:val="1"/>
          <w:iCs w:val="1"/>
          <w:color w:val="auto"/>
          <w:vertAlign w:val="superscript"/>
        </w:rPr>
      </w:pPr>
    </w:p>
    <w:p>
      <w:pPr>
        <w:ind w:left="260" w:hanging="255"/>
        <w:spacing w:after="0"/>
        <w:tabs>
          <w:tab w:leader="none" w:pos="260" w:val="left"/>
        </w:tabs>
        <w:numPr>
          <w:ilvl w:val="0"/>
          <w:numId w:val="23"/>
        </w:numPr>
        <w:rPr>
          <w:rFonts w:ascii="Arial" w:cs="Arial" w:eastAsia="Arial" w:hAnsi="Arial"/>
          <w:sz w:val="7"/>
          <w:szCs w:val="7"/>
          <w:color w:val="auto"/>
        </w:rPr>
      </w:pPr>
      <w:r>
        <w:rPr>
          <w:rFonts w:ascii="Arial" w:cs="Arial" w:eastAsia="Arial" w:hAnsi="Arial"/>
          <w:sz w:val="11"/>
          <w:szCs w:val="11"/>
          <w:color w:val="auto"/>
        </w:rPr>
        <w:t>Non-ordinary course legal fees for the three months ended April 30, 2026 and 2025 includes $0.6 million and $0.6 million of costs related to securities lawsuits and non-recurring legal fees, respectively.</w:t>
      </w:r>
    </w:p>
    <w:p>
      <w:pPr>
        <w:spacing w:after="0" w:line="72" w:lineRule="exact"/>
        <w:rPr>
          <w:rFonts w:ascii="Arial" w:cs="Arial" w:eastAsia="Arial" w:hAnsi="Arial"/>
          <w:sz w:val="7"/>
          <w:szCs w:val="7"/>
          <w:color w:val="auto"/>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Includes other (income) / expense recognized in the period.</w:t>
      </w:r>
    </w:p>
    <w:p>
      <w:pPr>
        <w:spacing w:after="0" w:line="74" w:lineRule="exact"/>
        <w:rPr>
          <w:rFonts w:ascii="Arial" w:cs="Arial" w:eastAsia="Arial" w:hAnsi="Arial"/>
          <w:sz w:val="15"/>
          <w:szCs w:val="15"/>
          <w:color w:val="auto"/>
          <w:vertAlign w:val="superscript"/>
        </w:rPr>
      </w:pPr>
    </w:p>
    <w:p>
      <w:pPr>
        <w:ind w:left="260" w:right="420" w:hanging="255"/>
        <w:spacing w:after="0" w:line="229" w:lineRule="auto"/>
        <w:tabs>
          <w:tab w:leader="none" w:pos="254"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51"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Adjusted EBITDA Margin calculated as Adjusted EBITDA as a percentage of revenue.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have incurred net losses from operations of $(18.9) million for the three months ended April 30, 2026. We have incurred significant recurring net operating losses since inception and have an accumulated deficit of $(1,119.3) million as of April 30, 2026. We have historically relied upon debt and equity financing to fund our operations. Our cash flows (used in) provided by operations for the three months ended April 30, 2026 were $(3.8) million. Cash outflows from investing activities were $(9.8) million for the three months ended April 30, 2026. As of April 30, 2026, we had cash and cash equivalents of $37.1 million, restricted cash of $8.2 million, current liabilities of $72.8 million as of April 30, 2026 and $157.1 million of long-term debt that matures in October 2029. We currently expect that our cash and cash equivalents balance will decline in fiscal year 2026 as a result of our business plans and strategy to continue to invest in improving the experience of our customers.</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On October 28, 2025, we completed recapitalization transactions to enhance our financial position and financial flexibility by significantly reducing our existing indebtedness, improving our borrowing rate and extending the maturity of our remaining indebtedness (the “Recapitalization Transactions”). Under the terms of the Recapitalization Transactions, we entered into the New Credit Agreement. The Lender exchanged $100 million of existing outstanding indebtedness on a dollar-for-dollar cashless basis for new term loans under the New Credit Agreement and exchanged the remaining indebtedness for 26,175,193 newly issued shares of our Class A Common Stock. The Investor Group also provided an additional $20 million of new term loans under the New Credit Agreement, resulting in a total aggregate principal amount of $120 million. Our minimum liquidity maintenance covenant was also reduced from $30 million to $15 million until February 20, 2027 prior to its removal pursuant to the First Amendment to the New Credit Agreement on January 28,</w:t>
      </w:r>
    </w:p>
    <w:p>
      <w:pPr>
        <w:spacing w:after="0" w:line="3" w:lineRule="exact"/>
        <w:rPr>
          <w:sz w:val="20"/>
          <w:szCs w:val="20"/>
          <w:color w:val="auto"/>
        </w:rPr>
      </w:pPr>
    </w:p>
    <w:p>
      <w:pPr>
        <w:ind w:right="100"/>
        <w:spacing w:after="0" w:line="229" w:lineRule="auto"/>
        <w:rPr>
          <w:sz w:val="20"/>
          <w:szCs w:val="20"/>
          <w:color w:val="auto"/>
        </w:rPr>
      </w:pPr>
      <w:r>
        <w:rPr>
          <w:rFonts w:ascii="Arial" w:cs="Arial" w:eastAsia="Arial" w:hAnsi="Arial"/>
          <w:sz w:val="14"/>
          <w:szCs w:val="14"/>
          <w:color w:val="auto"/>
        </w:rPr>
        <w:t>2026 (the “First Amendment”). We also received $12.5 million in proceeds from a concurrent rights offering. On April 1, 2026, the Company entered into the Second Amendment to the New Credit Agreement (the “Second Amendment”). The Second Amendment provides the Company with the ability to capitalize interest in lieu of cash payments until May 3,</w:t>
      </w:r>
    </w:p>
    <w:p>
      <w:pPr>
        <w:spacing w:after="0"/>
        <w:rPr>
          <w:sz w:val="20"/>
          <w:szCs w:val="20"/>
          <w:color w:val="auto"/>
        </w:rPr>
      </w:pPr>
      <w:r>
        <w:rPr>
          <w:rFonts w:ascii="Arial" w:cs="Arial" w:eastAsia="Arial" w:hAnsi="Arial"/>
          <w:sz w:val="14"/>
          <w:szCs w:val="14"/>
          <w:color w:val="auto"/>
        </w:rPr>
        <w:t>2027.</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For a description of the terms of our current and prior credit agreements, see “Note 6 – Long-Term Debt” in the Notes to the Condensed Consolidated Financial Statements.</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On May 28, 2024, we filed a “shelf” registration statement on Form S-3 (Reg. No. 333-279757) with the SEC, which was declared effective on June 6, 2024. This shelf registration statement, which includes a base prospectus, allows us at any time to offer any combination of 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As of the date of this Form 10-Q, our public float was less than $75.0 million. As a result, we are subject to the limitations of General Instruction I.B.6 to Form S-3 until such time as our public float exceeds $75 million, which means we only have the capacity to sell shares up to one-third of our public float under our registration statement on Form S-3 in any 12-month period.</w:t>
      </w:r>
    </w:p>
    <w:p>
      <w:pPr>
        <w:spacing w:after="0" w:line="164"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w:t>
      </w:r>
    </w:p>
    <w:p>
      <w:pPr>
        <w:spacing w:after="0" w:line="1" w:lineRule="exact"/>
        <w:rPr>
          <w:sz w:val="20"/>
          <w:szCs w:val="20"/>
          <w:color w:val="auto"/>
        </w:rPr>
      </w:pPr>
    </w:p>
    <w:p>
      <w:pPr>
        <w:ind w:right="200"/>
        <w:spacing w:after="0" w:line="229" w:lineRule="auto"/>
        <w:rPr>
          <w:sz w:val="20"/>
          <w:szCs w:val="20"/>
          <w:color w:val="auto"/>
        </w:rPr>
      </w:pPr>
      <w:r>
        <w:rPr>
          <w:rFonts w:ascii="Arial" w:cs="Arial" w:eastAsia="Arial" w:hAnsi="Arial"/>
          <w:sz w:val="14"/>
          <w:szCs w:val="14"/>
          <w:color w:val="auto"/>
        </w:rPr>
        <w:t>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w:t>
      </w:r>
    </w:p>
    <w:p>
      <w:pPr>
        <w:spacing w:after="0" w:line="241" w:lineRule="auto"/>
        <w:rPr>
          <w:sz w:val="20"/>
          <w:szCs w:val="20"/>
          <w:color w:val="auto"/>
        </w:rPr>
      </w:pPr>
      <w:r>
        <w:rPr>
          <w:rFonts w:ascii="Arial" w:cs="Arial" w:eastAsia="Arial" w:hAnsi="Arial"/>
          <w:sz w:val="14"/>
          <w:szCs w:val="14"/>
          <w:color w:val="auto"/>
        </w:rPr>
        <w:t>beyond our control, which may adversely affect the amount, timing, or nature of our future offerings. There can be no assurances that we will be able to raise additional capital which could negatively affect our liquidity in the future. In the event that additional financing is required from outside sources, we may not be able to negotiate terms acceptable to us or at all. If this occurs, our repayment obligations under the New Credit Agreement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future capital requirements will depend on many factors, including, but not limited to, demand for our business, rental product spend and the timing of investments in technology and personnel to support the overall growth of our business. We believe our existing cash and cash equivalents, and cash generated from our operations, will be sufficient to sustain our business operations and satisfy our debt service obligations for at least the next twelve months from the date of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19" w:lineRule="exact"/>
        <w:rPr>
          <w:sz w:val="20"/>
          <w:szCs w:val="20"/>
          <w:color w:val="auto"/>
        </w:rPr>
      </w:pPr>
    </w:p>
    <w:p>
      <w:pPr>
        <w:jc w:val="center"/>
        <w:ind w:left="8220"/>
        <w:spacing w:after="0"/>
        <w:rPr>
          <w:sz w:val="20"/>
          <w:szCs w:val="20"/>
          <w:color w:val="auto"/>
        </w:rPr>
      </w:pPr>
      <w:r>
        <w:rPr>
          <w:rFonts w:ascii="Arial" w:cs="Arial" w:eastAsia="Arial" w:hAnsi="Arial"/>
          <w:sz w:val="11"/>
          <w:szCs w:val="11"/>
          <w:b w:val="1"/>
          <w:bCs w:val="1"/>
          <w:color w:val="auto"/>
        </w:rPr>
        <w:t>Three Months Ended</w:t>
      </w:r>
    </w:p>
    <w:p>
      <w:pPr>
        <w:jc w:val="center"/>
        <w:ind w:left="8220"/>
        <w:spacing w:after="0"/>
        <w:rPr>
          <w:sz w:val="20"/>
          <w:szCs w:val="20"/>
          <w:color w:val="auto"/>
        </w:rPr>
      </w:pPr>
      <w:r>
        <w:rPr>
          <w:rFonts w:ascii="Arial" w:cs="Arial" w:eastAsia="Arial" w:hAnsi="Arial"/>
          <w:sz w:val="11"/>
          <w:szCs w:val="11"/>
          <w:b w:val="1"/>
          <w:bCs w:val="1"/>
          <w:color w:val="auto"/>
        </w:rPr>
        <w:t>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2025</w:t>
            </w:r>
          </w:p>
        </w:tc>
      </w:tr>
      <w:tr>
        <w:trPr>
          <w:trHeight w:val="150"/>
        </w:trPr>
        <w:tc>
          <w:tcPr>
            <w:tcW w:w="8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Borders>
              <w:bottom w:val="single" w:sz="8" w:color="auto"/>
            </w:tcBorders>
          </w:tcPr>
          <w:p>
            <w:pPr>
              <w:spacing w:after="0"/>
              <w:rPr>
                <w:sz w:val="13"/>
                <w:szCs w:val="13"/>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$(13.6) million for the three months ended April 30, 2026 and $(6.4) million for the three months ended April 30, 2025. The cash consumption of the business was higher in the first quarter of fiscal year 2026 compared with the same period of fiscal year 2025 primarily due to timing of payments partially offset by lower purchases of rental product. The sum of net cash used in operating activities and net cash used in investing activities, as a percentage of revenue, was (15.1)% for the three months ended April 30, 2026 and (9.2)% for the three months ended April 30, 2025.</w:t>
      </w:r>
    </w:p>
    <w:p>
      <w:pPr>
        <w:spacing w:after="0" w:line="15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three months ended April 30, 2026, net cash provided by operating activities was $(3.8) million, which consisted of</w:t>
      </w:r>
      <w:r>
        <w:rPr>
          <w:rFonts w:ascii="Arial" w:cs="Arial" w:eastAsia="Arial" w:hAnsi="Arial"/>
          <w:sz w:val="14"/>
          <w:szCs w:val="14"/>
          <w:b w:val="1"/>
          <w:bCs w:val="1"/>
          <w:color w:val="auto"/>
        </w:rPr>
        <w:t xml:space="preserve"> </w:t>
      </w:r>
      <w:r>
        <w:rPr>
          <w:rFonts w:ascii="Arial" w:cs="Arial" w:eastAsia="Arial" w:hAnsi="Arial"/>
          <w:sz w:val="14"/>
          <w:szCs w:val="14"/>
          <w:color w:val="auto"/>
        </w:rPr>
        <w:t>a net loss of $(18.9) million, non-cash charges of $18.2 million, the reclassification of the proceeds from the sale of rental product of $6.4 million and a net change of $3.3 million in</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our operating assets and liabilities. The non-cash items were primarily comprised of $14.0 million of rental product depreciation and write-off expenses, $2.7 million of payment-in-kind interest, $1.5 million of share-based compensation, $(2.2) million of debt discount amortization, and $2.2 million of other fixed and intangible asset depreciation.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April 30, 2025, net cash provided by operating activities was $8.3 million, which consisted of a net loss of $(26.1) million, non-cash charges of</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4"/>
          <w:szCs w:val="14"/>
          <w:color w:val="auto"/>
        </w:rPr>
        <w:t>$24.1 million, the reclassification of the proceeds from the sale of rental product of $4.9 million, and a net change of $15.2 million in our operating assets and liabilities. The non-cash charges were primarily comprised of $13.0 million of rental product depreciation and write-off expenses, $1.5 million of share-based compensation, $6.9 million of debt discount amortization and $2.7 million of other fixed and intangible asset depreciation.</w:t>
      </w:r>
    </w:p>
    <w:p>
      <w:pPr>
        <w:spacing w:after="0" w:line="14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three months ended April 30, 2026, net cash used in investing activities was $(9.8) million, primarily consisting of</w:t>
      </w:r>
      <w:r>
        <w:rPr>
          <w:rFonts w:ascii="Arial" w:cs="Arial" w:eastAsia="Arial" w:hAnsi="Arial"/>
          <w:sz w:val="14"/>
          <w:szCs w:val="14"/>
          <w:b w:val="1"/>
          <w:bCs w:val="1"/>
          <w:color w:val="auto"/>
        </w:rPr>
        <w:t xml:space="preserve"> </w:t>
      </w:r>
      <w:r>
        <w:rPr>
          <w:rFonts w:ascii="Arial" w:cs="Arial" w:eastAsia="Arial" w:hAnsi="Arial"/>
          <w:sz w:val="14"/>
          <w:szCs w:val="14"/>
          <w:color w:val="auto"/>
        </w:rPr>
        <w:t>$(15.2) million of purchases of rental product incurred in the period and $(1.4) million of purchases of fixed and intangible assets. The investment in rental product does not include an additional $(6.4) million of cost for units received in the current period but not yet paid for, but does include $1.6 million of cost for units paid for in the current period but received in the prior period (see the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$6.4 million of proceeds from the sale of owned rental product and $0.4 million of proceeds from the liquidation of rental product.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For the three months ended April 30, 2025, net cash used in investing activities was $(14.7) million, primarily consisting of $ (19.3) million of purchases of rental product incurred in the period and $(1.2) million of purchases of fixed and intangible assets. The investment in rental product did not include an additional $(11.3) million of cost for units received in the current period but not yet paid for, but did include $2.7 million of cost for units paid for in the current period but received in the prior period (see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$4.9 million of proceeds from sales of owned rental products and $0.9 million of proceeds from the liquidation of rental product.</w:t>
      </w:r>
    </w:p>
    <w:p>
      <w:pPr>
        <w:spacing w:after="0" w:line="142"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three months ended April 30, 2026, net cash used in financing activities was $(0.2) million, consisting of other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 payments and net cash proceeds from the issuance of common stock. During the three months ended April 30, 2025, net cash used in financing activities was $(0.7) million, consisting of other financing payments.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9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As of April 30, 2026, we had approximately $157.1 million of long-term debt, net, none of which matures within the next 12 months. In October 2025, the Company completed the recapitalization transactions to enhance the Company’s financial position and financial flexibility by significantly reducing its existing indebtedness, improving its borrowing rate and extending the maturity of its remaining indebtedness. See “Note 6 - Long-Term Debt” in the Notes to the Condensed Consolidated Financial Statements for more information. See “Note 4 – Leases – Lessee Accounting” in the Notes to the Condensed Consolidated Financial Statements for our minimum fixed lease obligations under existing lease agreements as of April 30, 2026. See “Note 14 - Commitments and Contingencies” in the Notes to the Condensed Consolidated Financial Statements for our minimum purchase commitments for technology services as of April 30, 2026.</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Our critical accounting estimates are described under the heading “Management’s Discussion and Analysis of Financial Condition and Results of Operations-Critical Accounting Estimates” in our 2025 Annual Report on Form 10-K. In the three months ended April 30, 2026, there were no material changes to our critical accounting estimates from those discussed in our 2025 Annual Report on Form 10-K except as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Interim Impairment Evaluation</w:t>
      </w:r>
    </w:p>
    <w:p>
      <w:pPr>
        <w:spacing w:after="0" w:line="20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161"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Given the Company’s stock price decline during the first quarter of fiscal year 2026 and fiscal year 2025, the Company concluded a triggering event had occurred and performed an impairment analysis of its long-lived assets as of April 30, 2026 and January 31, 2026. Based on the quantitative assessments performed, undiscounted cash flows expected to be generated by the use and eventual disposition of the Company’s long-lived assets exceeded their carrying values and therefore no impairment was recognized for the three months ended April 30, 2026 and year ended January 31, 2026.</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4"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Our quantitative and qualitative disclosures about market risk are described under the heading “Quantitative and Qualitative Disclosures About Market Risk” in our 2025 Annual Report on Form 10-K. In the three months ended April 30, 2026, there were no material changes to our quantitative and qualitative disclosures about market risk from those discussed in our 2025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April 30, 2026 because of the material weaknesses in our internal control over financial reporting described below.</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Weaknesses in Internal Control Over Financial Reporting</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April 30, 2026, these material weaknesses remain unremediated.</w:t>
      </w:r>
    </w:p>
    <w:p>
      <w:pPr>
        <w:spacing w:after="0" w:line="4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The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55"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jc w:val="both"/>
        <w:ind w:right="140"/>
        <w:spacing w:after="0" w:line="271" w:lineRule="auto"/>
        <w:rPr>
          <w:sz w:val="20"/>
          <w:szCs w:val="20"/>
          <w:color w:val="auto"/>
        </w:rPr>
      </w:pPr>
      <w:r>
        <w:rPr>
          <w:rFonts w:ascii="Arial" w:cs="Arial" w:eastAsia="Arial" w:hAnsi="Arial"/>
          <w:sz w:val="14"/>
          <w:szCs w:val="14"/>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49"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5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During fiscal year 2025, we established a comprehensive framework for our IT general controls and substantially completed the design of these controls across our key financial systems.</w:t>
      </w:r>
    </w:p>
    <w:p>
      <w:pPr>
        <w:spacing w:after="0" w:line="3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There have been no changes in the Company’s internal control over financial reporting that occurred during the quarter ended April 30,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Part II -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information contained in “Note 14 — Commitments and Contingencies” in the Notes to the Condensed Consolidated Financial Statements is incorporated by reference into this Item.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drive future growth or manage our growth effectively, our brand, Company culture, and financial performance may suffer</w:t>
      </w:r>
      <w:r>
        <w:rPr>
          <w:rFonts w:ascii="Arial" w:cs="Arial" w:eastAsia="Arial" w:hAnsi="Arial"/>
          <w:sz w:val="14"/>
          <w:szCs w:val="14"/>
          <w:color w:val="auto"/>
        </w:rPr>
        <w:t>.</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4"/>
          <w:szCs w:val="14"/>
          <w:color w:val="auto"/>
        </w:rPr>
        <w:t>We must continue to drive revenue growth to be successful. To effectively drive growth, we must continue to enhance customer experience and attract and retain customers (particularly subscribers), invest in rental product, iterate our subscription products, manage the interplay between our various offerings, invest in digital consumer innovation, maintain and expand our brand awareness and marketing, evolve our marketing and product strategies to address emerging machine learning, automated decision-making and artificial intelligence algorithms, models and technologies (collectively, “AI”), including agentic AI, and maintain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w:t>
      </w:r>
    </w:p>
    <w:p>
      <w:pPr>
        <w:spacing w:after="0" w:line="3" w:lineRule="exact"/>
        <w:rPr>
          <w:sz w:val="20"/>
          <w:szCs w:val="20"/>
          <w:color w:val="auto"/>
        </w:rPr>
      </w:pPr>
    </w:p>
    <w:p>
      <w:pPr>
        <w:ind w:right="460"/>
        <w:spacing w:after="0" w:line="238" w:lineRule="auto"/>
        <w:rPr>
          <w:sz w:val="20"/>
          <w:szCs w:val="20"/>
          <w:color w:val="auto"/>
        </w:rPr>
      </w:pPr>
      <w:r>
        <w:rPr>
          <w:rFonts w:ascii="Arial" w:cs="Arial" w:eastAsia="Arial" w:hAnsi="Arial"/>
          <w:sz w:val="14"/>
          <w:szCs w:val="14"/>
          <w:color w:val="auto"/>
        </w:rPr>
        <w:t>preserve our Company culture as we grow could also harm our future success, including our ability to retain and recruit personnel and to effectively focus on and pursue our corporate objectives.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Our growth strategy is focused on continuing to retain and grow our subscriber and customer base, by continuing to invest in our rental product, offerings and technology to improve her experience, and continuing to drive acquisition through effective and efficient marketing. The majority of our revenue is generated by our subscribers. Our base Subscription plans range in price and customers can customize their Subscription monthly by purchasing additional slots and shipments. Although we often highlight certain Subscription plans over others in an attempt to optimize conversion and highlight opportunities to add shipments and spots to Subscription plans mid-month, we cannot be certain that these actions will be successful. Also,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w:t>
      </w:r>
    </w:p>
    <w:p>
      <w:pPr>
        <w:spacing w:after="0" w:line="3" w:lineRule="exact"/>
        <w:rPr>
          <w:sz w:val="20"/>
          <w:szCs w:val="20"/>
          <w:color w:val="auto"/>
        </w:rPr>
      </w:pPr>
    </w:p>
    <w:p>
      <w:pPr>
        <w:ind w:right="180"/>
        <w:spacing w:after="0" w:line="229" w:lineRule="auto"/>
        <w:rPr>
          <w:sz w:val="20"/>
          <w:szCs w:val="20"/>
          <w:color w:val="auto"/>
        </w:rPr>
      </w:pPr>
      <w:r>
        <w:rPr>
          <w:rFonts w:ascii="Arial" w:cs="Arial" w:eastAsia="Arial" w:hAnsi="Arial"/>
          <w:sz w:val="14"/>
          <w:szCs w:val="14"/>
          <w:color w:val="auto"/>
        </w:rPr>
        <w:t>be able to retain a significant portion of subscribers beyond the existing monthly subscription periods. In addition, any limitation or restriction imposed on our ability to bill our subscribers on a recurring basis, enforce our terms of service, collect data or deliver relevant promotions or media, whether due to new regulations or otherwise, may significantly</w:t>
      </w:r>
    </w:p>
    <w:p>
      <w:pPr>
        <w:spacing w:after="0" w:line="239" w:lineRule="auto"/>
        <w:rPr>
          <w:sz w:val="20"/>
          <w:szCs w:val="20"/>
          <w:color w:val="auto"/>
        </w:rPr>
      </w:pPr>
      <w:r>
        <w:rPr>
          <w:rFonts w:ascii="Arial" w:cs="Arial" w:eastAsia="Arial" w:hAnsi="Arial"/>
          <w:sz w:val="14"/>
          <w:szCs w:val="14"/>
          <w:color w:val="auto"/>
        </w:rPr>
        <w:t>lower our subscription retention rate. We also offer our customers the option to rent or buy items via our Reserve offering and Resale offering, respectively, which we believe is a strong competitive advantage but adds complexity to our business that we must effectively manage to drive growth. For example, our Resale strategy shifts from time to time to optimize rental product in-stock and revenue by reducing or increasing our units sold via Resale. Further, in fiscal year 2025, we focused on active subscriber growth and experienced weakness in Reserve, which we anticipate will continue in fiscal year 2026 as we plan to revisit our Reserve strategy, plans, and leadership. Our Subscription plans and offerings do not have demonstrably long track records of success and may not grow as much or as fast as we expect. For example, our active subscriber count decreased year-over-year in fiscal year 2024 and, although we are focused on growth initiatives and our active subscriber count increased year-over-year in fiscal year 2025, it may decline in the future. In addition, our number of active subscribers may be higher or lower than the number of our actual individual subscribers, because some active subscribers may have multiple accounts (such as for professional and personal purposes), or some may share their plans with other individuals. Although we anticipate an increase in our year-over-year revenue growth rate in fiscal year 2026, if our growth and/or growth rates do not meet expectations, the perception of our business, financial condition and results of operations by investors and our third-party service providers and brand partners may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subscription, rental and resale;</w:t>
      </w:r>
    </w:p>
    <w:p>
      <w:pPr>
        <w:spacing w:after="0" w:line="93" w:lineRule="exact"/>
        <w:rPr>
          <w:rFonts w:ascii="Arial" w:cs="Arial" w:eastAsia="Arial" w:hAnsi="Arial"/>
          <w:sz w:val="14"/>
          <w:szCs w:val="14"/>
          <w:color w:val="auto"/>
        </w:rPr>
      </w:pPr>
    </w:p>
    <w:p>
      <w:pPr>
        <w:ind w:left="580" w:right="34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price and structure our Subscription, Reserve and Resale offerings so that we are able to attract new customers, and retain and expand our relationships with existing customers;</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customer demand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provide customers with a high-quality, seamless user experience and order fulfillment, as well as customer service and support that meets their needs;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acquire customers into varying levels of subscription programs at different price points and promotions;</w:t>
      </w:r>
    </w:p>
    <w:p>
      <w:pPr>
        <w:spacing w:after="0" w:line="93" w:lineRule="exact"/>
        <w:rPr>
          <w:rFonts w:ascii="Arial" w:cs="Arial" w:eastAsia="Arial" w:hAnsi="Arial"/>
          <w:sz w:val="14"/>
          <w:szCs w:val="14"/>
          <w:color w:val="auto"/>
        </w:rPr>
      </w:pPr>
    </w:p>
    <w:p>
      <w:pPr>
        <w:ind w:left="580" w:right="70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improve our website and app performance and successfully identify and acquire, partner or invest in products, technologies, or businesses that we believe could complement or expand our business;</w:t>
      </w:r>
    </w:p>
    <w:p>
      <w:pPr>
        <w:spacing w:after="0" w:line="35" w:lineRule="exact"/>
        <w:rPr>
          <w:rFonts w:ascii="Arial" w:cs="Arial" w:eastAsia="Arial" w:hAnsi="Arial"/>
          <w:sz w:val="14"/>
          <w:szCs w:val="14"/>
          <w:color w:val="auto"/>
        </w:rPr>
      </w:pPr>
    </w:p>
    <w:p>
      <w:pPr>
        <w:ind w:left="580" w:right="380" w:hanging="193"/>
        <w:spacing w:after="0" w:line="290" w:lineRule="auto"/>
        <w:tabs>
          <w:tab w:leader="none" w:pos="57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leverage and develop our Share by RTR and Exclusive Design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effectively manage our customer acquisition funnel to avoid disruption to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be effective and efficient in our marketing, particularly our paid marketing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keep pace with AI developments such as agentic search for shopping and successfully integrate and leverage AI tools and resources;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80" w:right="22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effectively respond to changes in macroeconomic realities, including consumer confidence, inflation, labor markets, tariffs, rising fuel costs, and consolidation or disruption in the retail industry and our individual brand partners; and</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global trade policies, cybersecurity or privacy incidents (including those resulting from our use of AI) and other factors that could affect our physical and digital infrastructure.</w:t>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 Failure to manage our future growth effectively could have an adverse effect on our business, financial condition, and results of operations.</w:t>
      </w:r>
    </w:p>
    <w:p>
      <w:pPr>
        <w:spacing w:after="0" w:line="138"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Further, our cash position and New Credit Agreement covenants may limit our ability to invest sufficiently in future growth initiatives, including, but not limited to, funding marketing initiatives and procuring rental product.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p>
    <w:p>
      <w:pPr>
        <w:spacing w:after="0" w:line="92"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 and maintain and grow brand awareness.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normalize fashion rental and change traditional retail shopping habits and norms;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how effectively differentiated our brand, offerings, customer experience and value proposition are from those of our competitors;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40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Reserve and Resale offerings, manage the interplay between our offerings, and attract and retain customers;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 and to merchandise it effectively;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 including the use of AI in e-commerce;</w:t>
      </w:r>
    </w:p>
    <w:p>
      <w:pPr>
        <w:spacing w:after="0" w:line="93" w:lineRule="exact"/>
        <w:rPr>
          <w:rFonts w:ascii="Arial" w:cs="Arial" w:eastAsia="Arial" w:hAnsi="Arial"/>
          <w:sz w:val="14"/>
          <w:szCs w:val="14"/>
          <w:color w:val="auto"/>
        </w:rPr>
      </w:pPr>
    </w:p>
    <w:p>
      <w:pPr>
        <w:ind w:left="580" w:right="6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requirements of digital marketing platforms, including those supporting search and social advertising, and mobile app platforms;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price at which we offer our Subscription, Reserve and Resale offerings and our ability to optimize pricing;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acquire products on favorable and efficient terms, including our ability to attract new brand partners and retain existing brand partners in our Share by RTR and Exclusive Design programs;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customer satisfaction with our offering and customer policies and the effectiveness of our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strength of our brand, including maintaining favorable brand recognition and effectively marketing our services and value proposition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Furthermore,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38"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our failure to achieve broad acceptance and changes in the fashion retail markets could result in lost market share and have a material adverse effect on our business, financial condition, and results of operations.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72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volatility in the financial markets; volatility in tariff rates and global trade policies; war in the Middle East;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in the past and have seen negative impacts on customer demand and increases in brand, shipping, and other supplier costs as a result.</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In response to the changing business environment and related inflationary pressure, we have implemented pricing increases and expect to do so in the future if our costs continue to increase. Such price increases may include, but are not limited to, higher Subscription fees and/or Reserve rental fees, new or increased shipping fees, or other types of fees or surcharges. For example, in June 2026, we implemented a new shipping charge on our subscription plans to address rising shipping costs from carriers, which may have a negative impact on subscriber acquisition and retention even though it is intended to be a temporary charge. Such pricing changes may be negatively perceived by customers, particularly in a period of economic uncertainty, and/or may fail to adequately mitigate cost increases we face, and our business and financial results could be harmed. Furthermore, increases in consumer discretionary spending tend to fluctuate and may decrease, particularly if there is a recession, a weaker jobs market, and/or higher inflation leading to increased price sensitivity. Economic conditions in certain regions may also be affected by natural disasters, such as hurricanes, tropical storms, earthquakes, and wildfires; other public health crises; geopolitical conditions, including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8"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uncertainty, or acute recession, significant inflation, or increased supply chain shortages, consumer spending habits could be adversely affected, and we could experience lower than expected revenue, net income, cash flows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fluctuate based on our level of investment and success in our organic and paid marketing initiatives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3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marketing initiatives are generally focused on re-engaging lapsed and paused customers, retaining existing customers and growing our base of new customers. In addition, we continue to focus on growing traffic and conversion rates by optimizing our organic social media channels, improving our email marketing performance, refreshing our lifecycle marketing engine, increasing paid marketing efficiency, focusing on referrals and other community-driven “word of mouth” strategies, and aiming to optimize discovery via search engine optimization, agentic search, and enhanced iOS App Store presence. These efforts are ongoing and, although we have seen some positive results, they are subject to change and may not result in a sustained increase in customer conversion, loyalty or engagement. In fiscal year 2026 we are planning to allocate a portion of our marketing budget to drive growth through these community-driven “word-of-mouth” channels, which may not meet our expectations and/or adversely impact overall customer acquisitions as we reduce spend in lower-funnel marketing channels. The impact of emerging technologies, including, but not limited to, AI tools such as agentic search, is not yet certain and may increase these risks. See “Our use of AI may subject us to new or heightened legal, regulatory, ethical, operational or other challenges.” As a result, our levels of paid and organic growth may continue to fluctuate and/or overall growth may decline.</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may determine that more significant investment in marketing will be required in the future. However, in light of cost constraints, we reduced our marketing spend, particularly in paid marketing, in fiscal years 2024 and 2025 (relative to years prior), which resulted in lower customer acquisitions in fiscal year 2024 and led us to invest more heavily in promotions in fiscal year 2025. Our marketing spend levels and prioritization of lower funnel marketing may have also negatively impacted brand awareness despite our efforts to revitalize our brand. In addition, we believe that our overall levels of marketing spend relative to our revenue - both historic and projected for fiscal year 2026 - indicate that we are underinvested in marketing relative to typical market practice for our industry and our competitors and have less channel diversification. Further, although we focus on full funnel marketing, our marketing spend has prioritized, and is expected to continue to prioritize, paid marketing over upper funnel, brand marketing investments, which may have a negative impact on brand awareness and growth. In addition, our marketing efforts may be unsuccessful for various reasons, including a failure to effectively reach potential customers or to be cost-effective (particularly as costs increase for performance marketing), changes in regulations (e.g., privacy, pricing, and auto-renew regulations) or third-party interference that could limit the effectiveness of search engines, social media platforms, and other tools for marketing, and the possibility that potential customers may decide not to rent through our platform or the spend of new customers may not yield the intended return on investment, any of which could negatively affect our results of operations. We also may incur marketing expenses significantly in advance of the time we anticipate recognized revenue associated with such expenses. In addition, the success of our marketing initiatives overall depends upon our marketing team and leadership, which is lean and has experienced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spacing w:after="0" w:line="5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utilize promotional pricing to attract customers and subscribers who may have heightened price sensitivity and who may not be willing to pay full price for our offering when the promotion period expires. For example, we have observed that subscribers who receive steep discounts have higher rates of cancellation. Our promotional and pricing strategy changes regularly and is subject to experimentation. In fiscal year 2025, we increased our use of promotional pricing to drive growth in customer acquisitions, and we expect that we will continue to adjust our promotional policies in response to our business objectives and market conditions. Our business performance may be adversely impacted if our promotional strategy is not effective at attracting and retaining customers.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 customer preferences may change and customers may not rent through our platform as frequently or spend as much with us. Customers may also react negatively to policy changes that we make from time to time, such as more stringent late fees or pricing increases, which could cause them to cancel their subscriptions.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quality, consumer appeal, price, and reliability of our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keep pace with new and emerging technologies, such as AI tools for shopping and styling;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 and surcharges and changes in the macroeconomic environment;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80" w:right="56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 including the effectiveness of our search and discovery tools, merchandising, and rental product availability;</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performance of our website and mobile app, including reliability;</w:t>
      </w:r>
    </w:p>
    <w:p>
      <w:pPr>
        <w:spacing w:after="0" w:line="93" w:lineRule="exact"/>
        <w:rPr>
          <w:rFonts w:ascii="Arial" w:cs="Arial" w:eastAsia="Arial" w:hAnsi="Arial"/>
          <w:sz w:val="14"/>
          <w:szCs w:val="14"/>
          <w:color w:val="auto"/>
        </w:rPr>
      </w:pPr>
    </w:p>
    <w:p>
      <w:pPr>
        <w:ind w:left="580" w:right="62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level of our investment in marketing and the success of our marketing strategies and tactics, including changes in efficiency of our historic or current customer acquisition and retention methods;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future outbreak of disease or public health concern, such as COVID-19; and</w:t>
      </w:r>
    </w:p>
    <w:p>
      <w:pPr>
        <w:spacing w:after="0" w:line="93"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failure (or perceived failure) to meet different and sometimes conflicting stakeholder expectations regarding our environmental, social and governance (“ESG”) initiatives.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we may experience negative publicity and word-of-mouth and other referrals may be hampered. For example, we implemented a price increase for our Subscription plans and began enforcing a more stringent late fee policy in fiscal year 2025. We also added a new shipping charge on our Subscription plans in June 2026. We anticipate that we will likely increase prices again in the future. If our customers no longer perceive our Subscription plans as appropriately priced and cancel or pause their subscriptions, our business and financial results could be harmed. We are focused on investing in the customer experience and delivering greater value to her, including by nearly doubling our rental product selection in fiscal year 2025 and maintaining these levels in fiscal year 2026, and emphasizing the</w:t>
      </w:r>
    </w:p>
    <w:p>
      <w:pPr>
        <w:spacing w:after="0" w:line="3" w:lineRule="exact"/>
        <w:rPr>
          <w:sz w:val="20"/>
          <w:szCs w:val="20"/>
          <w:color w:val="auto"/>
        </w:rPr>
      </w:pPr>
    </w:p>
    <w:p>
      <w:pPr>
        <w:ind w:right="100"/>
        <w:spacing w:after="0" w:line="229" w:lineRule="auto"/>
        <w:rPr>
          <w:sz w:val="20"/>
          <w:szCs w:val="20"/>
          <w:color w:val="auto"/>
        </w:rPr>
      </w:pPr>
      <w:r>
        <w:rPr>
          <w:rFonts w:ascii="Arial" w:cs="Arial" w:eastAsia="Arial" w:hAnsi="Arial"/>
          <w:sz w:val="14"/>
          <w:szCs w:val="14"/>
          <w:color w:val="auto"/>
        </w:rPr>
        <w:t>value proposition of our offering in our marketing materials, among other initiatives; however these or other initiatives to retain customers may not be successful at improving customer satisfaction, subscriber retention and/or revenues and may require additional costs or lead to unanticipated consequences. For example, we may offer discounts to retain</w:t>
      </w:r>
    </w:p>
    <w:p>
      <w:pPr>
        <w:ind w:right="80"/>
        <w:spacing w:after="0" w:line="242" w:lineRule="auto"/>
        <w:rPr>
          <w:sz w:val="20"/>
          <w:szCs w:val="20"/>
          <w:color w:val="auto"/>
        </w:rPr>
      </w:pPr>
      <w:r>
        <w:rPr>
          <w:rFonts w:ascii="Arial" w:cs="Arial" w:eastAsia="Arial" w:hAnsi="Arial"/>
          <w:sz w:val="14"/>
          <w:szCs w:val="14"/>
          <w:color w:val="auto"/>
        </w:rPr>
        <w:t>subscribers who have heightened price sensitivity and who may not be willing to continue to pay full price for a Subscription. Reductions or changes to when and under what circumstances such Subscription discounts are offered may impact retention.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We had a net income (loss) of $(18.9) million and $22.6 million for the three months ended April 30, 2026 and year ended January 31, 2026, respectively, and have in the past had net losses. We reported net income for the year ended January 31, 2026 due to the recognition of a Gain on Debt Restructuring of $96.3 million. As of April 30, 2026, we had an accumulated deficit of $(1,119.3) million. Further, for a variety of reasons, it is difficult for us to predict our future operating results. We will need to generate and sustain increased revenue and manage our costs to achieve profitability. Even if we do, we may not be able to sustain or increase our profitability.</w:t>
      </w:r>
    </w:p>
    <w:p>
      <w:pPr>
        <w:spacing w:after="0" w:line="13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Our ability to generate profit depends on our ability to grow customers and revenue and drive operational efficiencies in our business to generate better margins. In recent years, we have taken significant steps to reduce our operating costs, improve our margins, and make progress towards profitability. Fiscal year 2025 was a year of investment as we significantly increased the amount of new rental product we acquired and, therefore, increased our net losses year-over-year, excluding the Gain on Debt Restructuring discussed above. We may also continue to generate net losses in order to:</w:t>
      </w:r>
    </w:p>
    <w:p>
      <w:pPr>
        <w:spacing w:after="0" w:line="53" w:lineRule="exact"/>
        <w:rPr>
          <w:sz w:val="20"/>
          <w:szCs w:val="20"/>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fulfill customer orders and provide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increase the engagement, enhance retention and improve the experience, of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 in technology, including to enhance our website and mobile offerings and functionality;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attract, motivate and retain our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enhance our current offerings and develop new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generally support a larger customer base;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capacity and footprint, and other capital expenditures to support the growth in our business.</w:t>
      </w:r>
    </w:p>
    <w:p>
      <w:pPr>
        <w:spacing w:after="0" w:line="179"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for reasons within or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00"/>
        <w:spacing w:after="0" w:line="299" w:lineRule="auto"/>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and accurately forecast consumer demand, our business could be harmed</w:t>
      </w:r>
      <w:r>
        <w:rPr>
          <w:rFonts w:ascii="Arial" w:cs="Arial" w:eastAsia="Arial" w:hAnsi="Arial"/>
          <w:sz w:val="14"/>
          <w:szCs w:val="14"/>
          <w:color w:val="auto"/>
        </w:rPr>
        <w:t>.</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We may misjudge demand and over or under purchase rental product. In addition, external events may disrupt or change customer preferences and behaviors in ways we are not able to anticipate. Lower availability, including depth and breadth levels, has negatively impacted active subscriber retention in the past. Although we are focused on ensuring that there are adequate quantities of rental product on our site, we plan to acquire fewer rental product units year-over-year in fiscal year 2026 and we expect that new rental product levels will fluctuate quarterly due to the timing of our purchases, seasonality and other factors within or outside of our control, which may negatively impact customer retention and, therefore, revenue. Any decreases in our rental product availability levels or perceived availability levels, including in connection with other business objectives, may negatively impact active subscribers.</w:t>
      </w:r>
    </w:p>
    <w:p>
      <w:pPr>
        <w:spacing w:after="0" w:line="15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spacing w:after="0" w:line="225"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w:t>
      </w:r>
    </w:p>
    <w:p>
      <w:pPr>
        <w:spacing w:after="0" w:line="1" w:lineRule="exact"/>
        <w:rPr>
          <w:sz w:val="20"/>
          <w:szCs w:val="20"/>
          <w:color w:val="auto"/>
        </w:rPr>
      </w:pPr>
    </w:p>
    <w:p>
      <w:pPr>
        <w:ind w:right="380"/>
        <w:spacing w:after="0" w:line="253" w:lineRule="auto"/>
        <w:rPr>
          <w:sz w:val="20"/>
          <w:szCs w:val="20"/>
          <w:color w:val="auto"/>
        </w:rPr>
      </w:pPr>
      <w:r>
        <w:rPr>
          <w:rFonts w:ascii="Arial" w:cs="Arial" w:eastAsia="Arial" w:hAnsi="Arial"/>
          <w:sz w:val="14"/>
          <w:szCs w:val="14"/>
          <w:color w:val="auto"/>
        </w:rPr>
        <w:t>conditions or how primarily relying on a single national carrier may impact customer sentiment and satisfaction, which could lead to unanticipated costs and/or have a material adverse effect on our business and financial condition.</w:t>
      </w:r>
    </w:p>
    <w:p>
      <w:pPr>
        <w:spacing w:after="0" w:line="14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governmental regulations, labor disputes and other factors. We are also subject to risks of damage or loss during delivery by our shipping vendors. Customers who do not receive their orders in good condition or on time, or perceive our shipping promise as too slow, often become dissatisfied and even cease using our services, which may adversely affect our business and operating results if the issues become persistent or impact a significant amount of customers. Our shipping vendors have faced and may continue to face increased volumes which, in turn, has caused and could in the future cause a decrease in their service levels, including shipping delays, or result in an increase in their prices. We have experienced increased shipping costs in recent months and years, and these costs may continue to increase in the future, particularly in light of the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current macroeconomic landscape and global conflicts. In addition, although we have achieved efficiencies in our supply chain operations in recent years, these efficiencies may not be sustainable or meet our broader business objectives. Increases in shipping costs, in particular for our primary shipping vendor, are likely to result in increased costs to us and</w:t>
      </w:r>
    </w:p>
    <w:p>
      <w:pPr>
        <w:ind w:right="80"/>
        <w:spacing w:after="0" w:line="245" w:lineRule="auto"/>
        <w:rPr>
          <w:sz w:val="20"/>
          <w:szCs w:val="20"/>
          <w:color w:val="auto"/>
        </w:rPr>
      </w:pPr>
      <w:r>
        <w:rPr>
          <w:rFonts w:ascii="Arial" w:cs="Arial" w:eastAsia="Arial" w:hAnsi="Arial"/>
          <w:sz w:val="14"/>
          <w:szCs w:val="14"/>
          <w:color w:val="auto"/>
        </w:rPr>
        <w:t>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51"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In addition to offering the ability to return products by dropping off items with our primary third-party shipping vendor, we offer at-home pickup for customers located in multiple markets. In the event that we do not successfully and cost-effectively manage at-home pickup logistics, it may make it more difficult for us to satisfy our customers and efficiently manage shipping costs, which could negatively affect our brand,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acquire and manage our products effectively and plan for future expenses, our operating results could be adversely affected.</w:t>
      </w:r>
    </w:p>
    <w:p>
      <w:pPr>
        <w:spacing w:after="0" w:line="92"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rental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Brand partners have discontinued working with us in the past and a brand partner could choose to no longer work with us or provide less favorable terms for a variety of reasons in the future, including operating, financial, market and supply chain conditions or other factors within and outside of our control.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have been focused on expanding our relationships with brand partners and continuing to develop our Exclusive Designs and Share by RTR arrangements, which are our more capital-efficient ways of acquiring rental product, particularly in light of our 2025 and 2026 rental product strategy. For our Exclusive Designs, RTR traditionally has sourced the materials and relied upon third-party manufacturing partners to produce products; however, we have updated our Exclusive Designs model and, starting in fiscal year 2025, certain brands source and manufacture the products themselves, which are exclusively available on our site for a period of time. This new Exclusive Designs approach is similar to the approach for Wholesale and Share by RTR items, for which we enter into contracts in advance of a particular season and brand partners frequently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more upfront payments or other demonstrations of credit. The cash flow benefits we currently experience from our brand partners’ willingness to revenue share could be adversely affected if revenue share terms change or if brand partners no longer wish to revenue share due to lack of trust in us, lack of revenue earned in comparison to the projections we provided, or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increased or changing tariffs,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 between Russia and Ukraine and conflict in the Middle East,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the war between Russia and Ukraine and conflict in the Middle East have in the past led to, and are likely to continue to lead to, increased fuel and, therefore,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5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help ensure adequate availability levels the failure of which may adversely affect our operating results. We cannot control products while they are out of our possession or prevent all damage while in our fulfillment centers, during shipping, or while with customers, third-party suppliers or partners. We are focused on enhancing our automation and quality control processes to ensure that we are appropriately managing our rental product; however, we may deactivate rental product prematurely, which could reduce availability to our customers, or we may deactivate rental product too slowly, which could increase costs and harm our reputation if customers and potential customers believe that our products are not of high quality or may be damaged.</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resources to promote and maintain our brand; however we believe that we are underinvested in brand marketing and channel diversification relative to typical market practice and our competitors (as discussed elsewhere in these risk factors). Further, although we focus on full funnel marketing, our marketing spend has prioritized, and is expected to continue to prioritize, paid marketing over upper funnel, brand marketing investments, which may negatively impact our brand awareness and growth. Further,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4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Furthermore, whether accurate or not, negative publicity about our business, operations, leadership or employees, and customer complaints have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42"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80"/>
        <w:spacing w:after="0" w:line="276" w:lineRule="auto"/>
        <w:rPr>
          <w:sz w:val="20"/>
          <w:szCs w:val="20"/>
          <w:color w:val="auto"/>
        </w:rPr>
      </w:pPr>
      <w:r>
        <w:rPr>
          <w:rFonts w:ascii="Arial" w:cs="Arial" w:eastAsia="Arial" w:hAnsi="Arial"/>
          <w:sz w:val="14"/>
          <w:szCs w:val="14"/>
          <w:b w:val="1"/>
          <w:bCs w:val="1"/>
          <w:i w:val="1"/>
          <w:iCs w:val="1"/>
          <w:color w:val="auto"/>
        </w:rPr>
        <w:t>If we are not able to continue to improve our website and mobile app performance, keep pace with technological changes or consumer expectations, enhance our current offerings, and develop new offerings in a timely way to respond to the changing needs of partners and customers, our business, financial performance, and growth may be harmed</w:t>
      </w:r>
      <w:r>
        <w:rPr>
          <w:rFonts w:ascii="Arial" w:cs="Arial" w:eastAsia="Arial" w:hAnsi="Arial"/>
          <w:sz w:val="14"/>
          <w:szCs w:val="14"/>
          <w:color w:val="auto"/>
        </w:rPr>
        <w:t>.</w:t>
      </w:r>
    </w:p>
    <w:p>
      <w:pPr>
        <w:spacing w:after="0" w:line="3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include new software applications or related services based on AI, including agentic search and machine learning, augmented reality, or robotics or more generally evolving trends in e -commerce. For example, we continue to focus on improving the performance and design of our website and mobile application for our customers, including by leveraging AI tools and resources and increased personalization;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to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 For risks related to our adoption and use of AI, see “Our use of AI may subject us to new or heightened legal, regulatory, ethical, operational or other challenges.”</w:t>
      </w:r>
    </w:p>
    <w:p>
      <w:pPr>
        <w:spacing w:after="0" w:line="144"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For example, we are focused on increasing personalization and introducing AI styling tools for our customers. We have also recently launched a pilot of a marketplace offering designed to sell customers complementary products, such as clothing basics, shapewear and shoes, that are not available on our core platform. These new offerings and updates do not have demonstrably long track records of success for us and could result in higher costs, increased liability, not meet our expectations and goals, be a distraction from our core business goals, dilute our brand, and/or have other unforeseen impacts on the business. In addition, developing new offerings and services is complex, and the timetable for their public launch is difficult to predict and may vary from our expectations.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AI may subject us to new or heightened legal, regulatory, ethical, operational or other challenges.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currently use AI in connection with our business and operations and expect to expand our uses of AI. There are significant risks involved in utilizing AI, and no assurance can be provided that such use will enhance our business or operations or result in our business or operations being more efficient or profitable. For example, AI models and algorithms, and the data and other material or content on which they rely, could be flawed, insufficient, of poor quality, reflect unwanted forms of bias, or contain other errors or inadequacies, any of which may not be easily detectable. AI has also been known to produce false or “hallucinatory” inferences or outputs and AI can subject users to new or heightened legal, regulatory, ethical, operational, or other challenges. Inappropriate or controversial data practices by developers and end-users, or other factors adversely affecting public opinion of AI, could impair the acceptance of AI solutions. If the AI solutions that we use are or are perceived to be deficient, inaccurate or controversial, we could suffer operational inefficiencies, competitive harm, legal liability, brand or reputational harm, or other adverse impacts on our business, operations and financial results. If we do not have sufficient rights to use the models, algorithms, data or other material or content on which our AI solutions rely, or the output thereof, we could also incur liability through the violation of applicable laws and regulations, third-party intellectual property, privacy or other rights, or contracts to which we are a party. If any of our employees, contractors, vendors or service providers use any third-party AI solutions in connection with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protect and enforce, our intellectual property rights or confidential information, harming our competitive position and business. Further, any content created by us using generative AI may not be subject to copyright protection which may adversely affect our intellectual property rights in, or ability to commercialize or use, any such content. In addition, the use of AI solutions by companies has resulted in, and may in the future result in, failures, interruptions and security breaches of their information technology networks and systems and data privacy, data security, data protection and consumer protection violations that implicate the personal or confidential information of users of such AI solutions. Our competitors may also adopt or develop more effective AI-based solutions, which could place us at a competitive disadvantage.</w:t>
      </w:r>
    </w:p>
    <w:p>
      <w:pPr>
        <w:spacing w:after="0" w:line="170"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In addition, regulation of AI is rapidly evolving worldwide as legislators and regulators are increasingly focused on this emerging technology. The technologies underlying AI and its uses are already subject to a variety of laws and regulations, including intellectual property, data privacy, data security, data protection, consumer protection, competition and equal opportunity laws and regulations, and are expected to be subject to increased regulation and new laws or new applications of existing laws and regulations. AI is the subject of ongoing review by various U.S. governmental and regulatory agencies, and various U.S. states and other foreign jurisdictions are applying, or are considering applying, their platform moderation and data privacy, data security, data protection and consumer protection laws and regulations to AI or are considering general legal frameworks for AI. It is possible that we will not be able to anticipate how to respond to these rapidly evolving frameworks, and we could be required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fulfillment operations, and financial systems,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from time to time and are likely to occur in the future, which could harm our ability to meet customer expectations, fulfill orders, manage our products, and achieve our objectives for operating efficiencies and profitability.</w:t>
      </w:r>
    </w:p>
    <w:p>
      <w:pPr>
        <w:spacing w:after="0" w:line="244" w:lineRule="exact"/>
        <w:rPr>
          <w:sz w:val="20"/>
          <w:szCs w:val="20"/>
          <w:color w:val="auto"/>
        </w:rPr>
      </w:pPr>
    </w:p>
    <w:p>
      <w:pPr>
        <w:ind w:right="200"/>
        <w:spacing w:after="0"/>
        <w:rPr>
          <w:sz w:val="20"/>
          <w:szCs w:val="20"/>
          <w:color w:val="auto"/>
        </w:rPr>
      </w:pPr>
      <w:r>
        <w:rPr>
          <w:rFonts w:ascii="Arial" w:cs="Arial" w:eastAsia="Arial" w:hAnsi="Arial"/>
          <w:sz w:val="14"/>
          <w:szCs w:val="14"/>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w:t>
      </w:r>
    </w:p>
    <w:p>
      <w:pPr>
        <w:spacing w:after="0" w:line="3"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and functionality of our offerings. Our use of AI-assisted coding may increase the potential for errors or vulnerabilities in our code base. In some cases, such as our mobile application, certain errors are only able to be correctable through updates distributed through slower, third-party mechanisms, such as app stores, and may need to comply with</w:t>
      </w:r>
    </w:p>
    <w:p>
      <w:pPr>
        <w:ind w:right="20"/>
        <w:spacing w:after="0" w:line="239" w:lineRule="auto"/>
        <w:rPr>
          <w:sz w:val="20"/>
          <w:szCs w:val="20"/>
          <w:color w:val="auto"/>
        </w:rPr>
      </w:pPr>
      <w:r>
        <w:rPr>
          <w:rFonts w:ascii="Arial" w:cs="Arial" w:eastAsia="Arial" w:hAnsi="Arial"/>
          <w:sz w:val="14"/>
          <w:szCs w:val="14"/>
          <w:color w:val="auto"/>
        </w:rPr>
        <w:t>third-party policies and procedures to be made available, which may add additional delays due to app review and customer delay in updating their mobile apps. In addition, our IT Systems and business operations are increasingly reliant on AI systems and technologies, which are complex, expected to pose new or unknown cybersecurity risks and challenges, and may have errors or inadequacies that are not easily detectable. As discussed elsewhere in these risk factors, these systems and technologies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and financial systems,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or to keep pace with rapidly developing technologies, such as AI.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or maintain operational controls for data protection, retention, or deletion, whether due to cost savings, resource constraints, a failure to identify the need or other reasons, could negatively impact our business.</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Additionally, despite various security measures that have been implemented, our IT Systems and those of our third-party service providers and business partners as well as the Confidential Information stored thereon are vulnerable to numerous and rapidly evolving cybersecurity risks that threaten their confidentiality, integrity and availability, including security incidents, technology developments (including, but not limited to, AI developments), attacks by a variety of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inadvertent disclosures or other similar events. Notably, AI technologies have introduced new and complex cybersecurity risks, including, but not limited to, more sophisticated AI-powered phishing campaigns and the potential for novel attack vectors using AI, which presents a significant challenge for the Company and our third-party providers and business partners.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AI)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(including, but not limited to, our ability to keep pace with evolving AI threats) may not be, and have not always been, effective in every instance.</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contracted customer service provider, shipping partners, human resources information system, payment processor, data warehouses, and various IT Systems providers. Because we do not control these service providers and our ability to monitor their security measures is limited,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Due to applicable laws and regulations or contractual obligations, we may be held responsible for such incidents as they relate to the information we share with them. Moreover, we or our third-party service providers may be more vulnerable to such attacks in remote or hybrid work environments or when operating internationally. Any cyberattack, security incident, or material disruption or slowdown affecting our Confidential Information or IT Systems or those of our third -party service providers or business partners, could result in actual or alleged breaches of applicable laws or our contractual obligations,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spacing w:after="0" w:line="148"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w:t>
      </w:r>
    </w:p>
    <w:p>
      <w:pPr>
        <w:spacing w:after="0" w:line="207"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renewed our lease in Secaucus, NJ in 2023,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80" w:hanging="193"/>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provide a delightful and effective search and discovery experience for our customers;</w:t>
      </w:r>
    </w:p>
    <w:p>
      <w:pPr>
        <w:spacing w:after="0" w:line="93" w:lineRule="exact"/>
        <w:rPr>
          <w:rFonts w:ascii="Arial" w:cs="Arial" w:eastAsia="Arial" w:hAnsi="Arial"/>
          <w:sz w:val="14"/>
          <w:szCs w:val="14"/>
          <w:color w:val="auto"/>
        </w:rPr>
      </w:pPr>
    </w:p>
    <w:p>
      <w:pPr>
        <w:ind w:left="580" w:right="380" w:hanging="193"/>
        <w:spacing w:after="0" w:line="290" w:lineRule="auto"/>
        <w:tabs>
          <w:tab w:leader="none" w:pos="576"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failure to successfully execute planned enhancements to our website and mobile application performance in order to keep pace with industry standards and meet customer expectations, including with respect to the implementation of AI tools and resources;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80" w:hanging="193"/>
        <w:spacing w:after="0" w:line="271"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legal claims related to our e-commerce operations and fulfillment, including liability for online content;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5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p>
    <w:p>
      <w:pPr>
        <w:spacing w:after="0" w:line="148" w:lineRule="exact"/>
        <w:rPr>
          <w:sz w:val="20"/>
          <w:szCs w:val="20"/>
          <w:color w:val="auto"/>
        </w:rPr>
      </w:pPr>
    </w:p>
    <w:p>
      <w:pPr>
        <w:jc w:val="both"/>
        <w:ind w:right="20"/>
        <w:spacing w:after="0" w:line="249"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checkout and payment options, creative user interfaces, virtual and augmented reality, AI,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Quarterly Report, factors that may contribute to the variability of our quarterly and annual results include:</w:t>
      </w:r>
    </w:p>
    <w:p>
      <w:pPr>
        <w:spacing w:after="0" w:line="53" w:lineRule="exact"/>
        <w:rPr>
          <w:sz w:val="20"/>
          <w:szCs w:val="20"/>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80" w:right="16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pricing changes, new services and features we may introduce;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28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adverse economic and market conditions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seasonality of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litigation matters and demands that may be costly to manage or that have a negative impact on our reputation;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We face risks arising from cost-cutting and restructuring of our operations, which could adversely affect our financial condition, results of operations, cash flows, or business reputation.</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taken and plan to continue to take actions intended to drive efficiencies and maintain a cost structure that aligns with our business and financial objectives. For example, in September 2022 and January 2024, we announced significant restructuring plans intended to reduce costs, streamline our organizational structure and drive operational efficiencies and growth. We have also taken smaller actions with similar goals in mind, such as off-shoring over a majority of our customer service operations in fiscal years 2025 and 2026 and eliminating our customer service styling program in fiscal year 2025. These plans or other future restructuring plans, including as a result of leveraging AI efficiencies, present significant risks that could have a material adverse effect on our operations, financial condition, results of operations, cash flow, or business reputation. Such risks include:</w:t>
      </w:r>
    </w:p>
    <w:p>
      <w:pPr>
        <w:spacing w:after="0" w:line="55"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growth, cash flow and profitability goals;</w:t>
      </w:r>
    </w:p>
    <w:p>
      <w:pPr>
        <w:spacing w:after="0" w:line="93" w:lineRule="exact"/>
        <w:rPr>
          <w:rFonts w:ascii="Arial" w:cs="Arial" w:eastAsia="Arial" w:hAnsi="Arial"/>
          <w:sz w:val="14"/>
          <w:szCs w:val="14"/>
          <w:color w:val="auto"/>
        </w:rPr>
      </w:pPr>
    </w:p>
    <w:p>
      <w:pPr>
        <w:ind w:left="580" w:right="42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 each of which we’ve observed to some extent and are focused on addressing;</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loss of institutional knowledge and/or employee expertise, which could lead to inefficiencies or business disruptions, some of which may be significant and our efforts to address may not be successful; and</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delay or failure to meet our operational standards, needs, or goals due to fewer employees, including potential single points of failure, or due to reduced or reallocated resources generally.</w:t>
      </w:r>
    </w:p>
    <w:p>
      <w:pPr>
        <w:spacing w:after="0" w:line="207" w:lineRule="exact"/>
        <w:rPr>
          <w:sz w:val="20"/>
          <w:szCs w:val="20"/>
          <w:color w:val="auto"/>
        </w:rPr>
      </w:pPr>
    </w:p>
    <w:p>
      <w:pPr>
        <w:ind w:right="720"/>
        <w:spacing w:after="0" w:line="299" w:lineRule="auto"/>
        <w:rPr>
          <w:sz w:val="20"/>
          <w:szCs w:val="20"/>
          <w:color w:val="auto"/>
        </w:rPr>
      </w:pPr>
      <w:r>
        <w:rPr>
          <w:rFonts w:ascii="Arial" w:cs="Arial" w:eastAsia="Arial" w:hAnsi="Arial"/>
          <w:sz w:val="14"/>
          <w:szCs w:val="14"/>
          <w:b w:val="1"/>
          <w:bCs w:val="1"/>
          <w:i w:val="1"/>
          <w:iCs w:val="1"/>
          <w:color w:val="auto"/>
        </w:rPr>
        <w:t>We are currently conducting a search for a new permanent CEO and CFO and managing our CEO and CFO transitions with interim leadership. We rely on the experience and expertise of our senior management team, key technical and strategic employees and hourly personnel.</w:t>
      </w:r>
    </w:p>
    <w:p>
      <w:pPr>
        <w:spacing w:after="0" w:line="21"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We believe that our success and future growth depend largely upon the leadership and services of our senior management team. From time to time, there have been and may be future changes in our executive management team resulting from the hiring or departure of these executives. Following the recent resignations of our CEO and CFO, we have appointed an interim CEO [and interim CFO] and, ultimately, intend to appoint permanent hires to these roles. If we do not successfully manage these leadership transitions and timely hire new executives, we could experience increased regrettable attrition and fail to achieve our business goals. All employees, including our executive officers are employed on an at-will basis, which means they may terminate their employment with us at any time. Further, in addition to the CEO and CFO transition, uncertainty during the current transition period following the Recapitalization Transactions, including the related Board transitions, or a perception that the new management incentive plan and compensation in general is not sufficiently motivating, could result in regrettable attrition. The loss of additional senior leaders, the failure to appropriately manage the current executive and Board transitions, or the failure of the management team and Board to collaborate effectively and lead our Company could materially harm our business. We do not maintain key man life insurance with respect to any member of management or other employee.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80"/>
        <w:spacing w:after="0"/>
        <w:rPr>
          <w:sz w:val="20"/>
          <w:szCs w:val="20"/>
          <w:color w:val="auto"/>
        </w:rPr>
      </w:pPr>
      <w:r>
        <w:rPr>
          <w:rFonts w:ascii="Arial" w:cs="Arial" w:eastAsia="Arial" w:hAnsi="Arial"/>
          <w:sz w:val="14"/>
          <w:szCs w:val="14"/>
          <w:color w:val="auto"/>
        </w:rPr>
        <w:t>In addition, our future success will depend upon our ability to attract and retain employees, particularly for key roles, such as engineering and product (including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 levels could increase attrition and make recruiting more difficult. Alternatively, we may be required to increase current compensation levels to attract and retain employees, which could negatively impact our profitability goals. In addition,</w:t>
      </w:r>
    </w:p>
    <w:p>
      <w:pPr>
        <w:spacing w:after="0" w:line="3" w:lineRule="exact"/>
        <w:rPr>
          <w:sz w:val="20"/>
          <w:szCs w:val="20"/>
          <w:color w:val="auto"/>
        </w:rPr>
      </w:pPr>
    </w:p>
    <w:p>
      <w:pPr>
        <w:ind w:right="460"/>
        <w:spacing w:after="0" w:line="229" w:lineRule="auto"/>
        <w:rPr>
          <w:sz w:val="20"/>
          <w:szCs w:val="20"/>
          <w:color w:val="auto"/>
        </w:rPr>
      </w:pPr>
      <w:r>
        <w:rPr>
          <w:rFonts w:ascii="Arial" w:cs="Arial" w:eastAsia="Arial" w:hAnsi="Arial"/>
          <w:sz w:val="14"/>
          <w:szCs w:val="14"/>
          <w:color w:val="auto"/>
        </w:rPr>
        <w:t>prospective and existing employees often consider the value of the equity awards they may receive in connection with their employment and i) our stock price has declined significantly since our 2021 IPO and ii) we expect to grant future equity awards to a small group of senior leaders. If the perceived value of our equity awards is inadequate or</w:t>
      </w:r>
    </w:p>
    <w:p>
      <w:pPr>
        <w:ind w:right="220"/>
        <w:spacing w:after="0" w:line="242" w:lineRule="auto"/>
        <w:rPr>
          <w:sz w:val="20"/>
          <w:szCs w:val="20"/>
          <w:color w:val="auto"/>
        </w:rPr>
      </w:pPr>
      <w:r>
        <w:rPr>
          <w:rFonts w:ascii="Arial" w:cs="Arial" w:eastAsia="Arial" w:hAnsi="Arial"/>
          <w:sz w:val="14"/>
          <w:szCs w:val="14"/>
          <w:color w:val="auto"/>
        </w:rPr>
        <w:t>experiences significant volatility, it may adversely affect our ability to recruit and retain key employees. Although we have implemented different types of programs with a goal of incentivizing our employees, these programs and plans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have an office-centric model in our New York City headquarters for our corporate employees.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spacing w:after="0" w:line="14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We have experienced in the past, and may in the future experience, voluntary attrition at significant rates for various reasons, including challenges with employee morale, perception of our business and financial condition, and challenging labor market conditions such as rising wages and competition in hiring. Our teams are generally leanly staffed, which means that the impact of lower levels of attrition can be felt more acutely than in larger organizations.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Company culture has been critical to our success. We aim to cultivate and maintain a workplace that is entrepreneurial, passionate, kind and positive, which we believe is essential to our growth and continued success. We face a number of challenges that may affect our ability to sustain our corporate culture, including:</w:t>
      </w:r>
    </w:p>
    <w:p>
      <w:pPr>
        <w:spacing w:after="0" w:line="35" w:lineRule="exact"/>
        <w:rPr>
          <w:sz w:val="20"/>
          <w:szCs w:val="20"/>
          <w:color w:val="auto"/>
        </w:rPr>
      </w:pPr>
    </w:p>
    <w:p>
      <w:pPr>
        <w:jc w:val="both"/>
        <w:ind w:left="580" w:right="140" w:hanging="193"/>
        <w:spacing w:after="0" w:line="271" w:lineRule="auto"/>
        <w:tabs>
          <w:tab w:leader="none" w:pos="57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failure to maintain and/or improve employee morale and engagement for a variety of reasons, including, but not limited to, our office-centric approach in our New York City headquarters, past and future restructurings and layoffs, the perception of our business and financial condition, and our continued efforts to ensure a cost-conscious and efficient workforce that supports our growth and profitability goals;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failure to identify, attract, reward, and retain employees who share and further our culture, values, and mission;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failure to successfully integrate AI tools and resources into the day-to-day operations of our teams;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evolving size, complexity and geographic diversity of our workforce, and our ability to promote a uniform and consistent culture across all our offices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hybrid working model for employees in Galway and the remote working model for customer service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80"/>
        <w:spacing w:after="0"/>
        <w:tabs>
          <w:tab w:leader="none" w:pos="560" w:val="left"/>
        </w:tabs>
        <w:rPr>
          <w:sz w:val="20"/>
          <w:szCs w:val="20"/>
          <w:color w:val="auto"/>
        </w:rPr>
      </w:pPr>
      <w:r>
        <w:rPr>
          <w:rFonts w:ascii="Arial" w:cs="Arial" w:eastAsia="Arial" w:hAnsi="Arial"/>
          <w:sz w:val="14"/>
          <w:szCs w:val="14"/>
          <w:color w:val="auto"/>
        </w:rPr>
        <w:t>•</w:t>
        <w:tab/>
        <w:t>the employee and market perception of our ESG efforts, which may impact employee morale and recruiting efforts.</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particular, we are focused on driving innovation and stronger business results by attracting top talent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272"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manufacturers increase their costs, our Exclusive Designs may not be as cost-effective for us or our brand partners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price or supply of the fabrics or raw materials used in the manufacture of the products we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offer, such as due to changes in global trade policies, tariffs and other measures that could restrict international trade or due to restrictions on Xinjiang cotton, we and/or our partners might not be able to locate alternative suppliers of materials of comparable quality at an acceptable price. In particular, there is significant uncertainty about the future relationship</w:t>
      </w:r>
    </w:p>
    <w:p>
      <w:pPr>
        <w:ind w:right="40"/>
        <w:spacing w:after="0" w:line="239" w:lineRule="auto"/>
        <w:rPr>
          <w:sz w:val="20"/>
          <w:szCs w:val="20"/>
          <w:color w:val="auto"/>
        </w:rPr>
      </w:pPr>
      <w:r>
        <w:rPr>
          <w:rFonts w:ascii="Arial" w:cs="Arial" w:eastAsia="Arial" w:hAnsi="Arial"/>
          <w:sz w:val="14"/>
          <w:szCs w:val="14"/>
          <w:color w:val="auto"/>
        </w:rPr>
        <w:t>between the United States and other countries with respect to global trade policies, tariffs and treatises. The United States has imposed significant tariffs on foreign countries, including China, related to the importation of certain product categories, and countries may change their business and trade policies in anticipation of or in response to the United States’s increased import tariffs and other changes in U.S. trade policies already enacted or that may be enacted in the future. For example, in early 2025, the U.S. imposed blanket 10% tariffs on virtually all imports to the U.S. and significantly higher tariffs applicable to imports from many countries, which have resulted in other countries imposing additional tariffs on imports from the U.S., and is likely to continue to result in more retaliatory tariffs. The U.S. Supreme Court invalidated the reciprocal tariffs on February 20, 2026; however,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This evolving legal and policy landscape has contributed to continued volatility in the supply chain.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rPr>
          <w:sz w:val="20"/>
          <w:szCs w:val="20"/>
          <w:color w:val="auto"/>
        </w:rPr>
      </w:pPr>
      <w:r>
        <w:rPr>
          <w:rFonts w:ascii="Arial" w:cs="Arial" w:eastAsia="Arial" w:hAnsi="Arial"/>
          <w:sz w:val="14"/>
          <w:szCs w:val="14"/>
          <w:color w:val="auto"/>
        </w:rPr>
        <w:t>Disruptions in the supply chain due to a variety of macroeconomic factors and the recent inflationary environment have increased raw material costs, impacted pricing of our products, and caused shipping delays. In addition to the general uncertainty and overall risk from changes in global trade policies, tariffs, treatises and supply chains, as we make business decisions in the face of such uncertainty, we may incorrectly anticipate the outcomes, miss out on business opportunities, or fail to effectively adapt our business strategies and manage the adjustments that are necessary in response to such changes. For example, to respond to inflationary and tariff pressures, in August 2025, we implemented increased prices for our Subscription plans and, in June 2026 implemented a new shipping charge for Subscription plans. Any future developments of these issues, or the perception regarding such developments, could increase the costs associated with procuring rental product, negatively impact our brand partners’ business operations which could</w:t>
      </w:r>
    </w:p>
    <w:p>
      <w:pPr>
        <w:spacing w:after="0" w:line="3" w:lineRule="exact"/>
        <w:rPr>
          <w:sz w:val="20"/>
          <w:szCs w:val="20"/>
          <w:color w:val="auto"/>
        </w:rPr>
      </w:pPr>
    </w:p>
    <w:p>
      <w:pPr>
        <w:ind w:right="240"/>
        <w:spacing w:after="0" w:line="238" w:lineRule="auto"/>
        <w:rPr>
          <w:sz w:val="20"/>
          <w:szCs w:val="20"/>
          <w:color w:val="auto"/>
        </w:rPr>
      </w:pPr>
      <w:r>
        <w:rPr>
          <w:rFonts w:ascii="Arial" w:cs="Arial" w:eastAsia="Arial" w:hAnsi="Arial"/>
          <w:sz w:val="14"/>
          <w:szCs w:val="14"/>
          <w:color w:val="auto"/>
        </w:rPr>
        <w:t>in turn negatively impact us, reduce the supply of materials used in the design and manufacture of our rental products; and negatively impact customer demand for our products, any of which could have a material adverse effect on our business, financial condition and results of operation.</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COVID-19 pandemic.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57"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55"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Furthermore, our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realize all of the anticipated benefits of the Recapitalization Transactions, or those benefits may be short-lived or insufficient for our future needs.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On October 28, 2025, we completed the recapitalization transactions to strengthen our financial position and financial flexibility by significantly reducing our existing indebtedness and adding capital to the business (the “Recapitalization Transactions”). See “Note 3 — Liquidity” and “Note 6 - Long-Term Debt” in the Notes to the Condensed Consolidated Financial Statements for more information. We may fail to fully realize the anticipated benefits of the Recapitalization Transactions or such benefits may be short-lived or insufficient for our future needs due to factors within or outside our control. Our ability to continue to grow our business depends, among other things, upon our ability to successfully execute on our business strategies, hire, retain and motivate key talent, obtain financing for our capital needs, scale our systems efficiently and effectively, control costs, comply with our debt covenants, and manage the pressures on our management and administrative, operational and financial infrastructure. If we fail to realize the anticipated benefits of the Recapitalization Transactions, or if those benefits are short-lived or insufficient for our future needs, it could have an adverse effect on our business, financial condition and results of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manage our Board transition and related changes could materially adversely affect our business.</w:t>
      </w:r>
    </w:p>
    <w:p>
      <w:pPr>
        <w:spacing w:after="0" w:line="198"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To facilitate the Recapitalization Transactions, the Board has been restructured, including new and departing members, changes to the Audit Committee composition, and the designation of Mr. Fonseca as Executive Chair, and this transition may cause temporary uncertainty and disruption. Additionally, the Investor Group (defined below) has indicated that it is continuing to use commercially reasonable efforts to identify and designate a third Investor Group director to the Board, which could take place in the near future.</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potential uncertainty and disruption resulting from the Board transition and related changes, along with the ongoing efforts to identify a third Investor Group director, could have an adverse effect on our business, financial condition and results of operations. For more information on the Board transition, see “Note 6 - Long-Term Debt” in the Notes to the Condensed Consolidated Financial Statements for more information.</w:t>
      </w:r>
    </w:p>
    <w:p>
      <w:pPr>
        <w:spacing w:after="0" w:line="15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satisfy our debt obligations, and this capital might not be available on acceptable terms, if at all.</w:t>
      </w:r>
    </w:p>
    <w:p>
      <w:pPr>
        <w:spacing w:after="0" w:line="11" w:lineRule="exact"/>
        <w:rPr>
          <w:sz w:val="20"/>
          <w:szCs w:val="20"/>
          <w:color w:val="auto"/>
        </w:rPr>
      </w:pPr>
    </w:p>
    <w:p>
      <w:pPr>
        <w:ind w:right="120"/>
        <w:spacing w:after="0"/>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over time;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our market capitalization, business performance and/or level of indebtedness and/or governance structure may adversely impact efforts to raise additional capital. If we are unable to obtain adequate financing or financing on terms satisfactory to us, our ability to</w:t>
      </w:r>
    </w:p>
    <w:p>
      <w:pPr>
        <w:spacing w:after="0" w:line="3"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support 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w:t>
      </w:r>
    </w:p>
    <w:p>
      <w:pPr>
        <w:spacing w:after="0"/>
        <w:rPr>
          <w:sz w:val="20"/>
          <w:szCs w:val="20"/>
          <w:color w:val="auto"/>
        </w:rPr>
      </w:pPr>
      <w:r>
        <w:rPr>
          <w:rFonts w:ascii="Arial" w:cs="Arial" w:eastAsia="Arial" w:hAnsi="Arial"/>
          <w:sz w:val="14"/>
          <w:szCs w:val="14"/>
          <w:color w:val="auto"/>
        </w:rPr>
        <w:t>general could limit our access to capital markets and increase our costs of borrowing.</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38"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Under the terms of the Recapitalization Transactions, we entered into an amended and restated credit agreement (the “New Credit Agreement”), by and among the Company, as borrower, CHS (US) Management LLC, as administrative agent (the “Agent”), and CHS US Investments LLC (“Lender”), Gateway Runway, LLC (“Nexus”) and S3 RR Aggregator, LLC, as lenders (“STORY3” and, collectively with Lender and Nexus, the “Investor Group”). The New Credit Agreement amended and restated our prior credit agreement, dated as of July 23, 2018, by and among the Company, as borrower, the lenders from time to time party thereto and the Agent (as successor-in-interest to Double Helix Pte Ltd.) (the “Existing Credit Agreement”). The New Credit Agreement contains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Further, in the past we have sought waivers and/or concessions from our Lender to ensure our continued compliance with certain covenants under our Existing Credit Agreement, and we may in the future be unable to comply with the covenants under the New Credit Agreement. If we were unable to comply with our covenants and successfully negotiate with the Investor Group for a waiver or dispensation of such covenants under the New Credit Agreement, the Agent would have the right to accelerate repayment of all outstanding obligations under the New Credit Agreement, which would become immediately due and payable, and exercise all other rights and remedies available under the New Credit Agreement. While our Lender has previously granted waivers or entered into amendments to the Existing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the covenants under the New Credit Agreement and negotiate with the Investor Group could have a material adverse effect on our business, financial condition and results of operations.</w:t>
      </w:r>
    </w:p>
    <w:p>
      <w:pPr>
        <w:spacing w:after="0" w:line="169"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17"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As of April 30, 2026, we had $157.1 million aggregate amount of borrowings, consisting of principal and debt (premium) discount under the New Credit Agreement. If we are unable to successfully manage our long-term debt obligations, our liquidity, results of operations, cash flows, and financial condition may be materially adversely impacted. See Risks Related to the Recapitalization Transactions and Note 6 —Long-Term Debt in the Notes to the Condensed Consolidated Financial Statements for more information on our indebtedness and the Recapitalization Transactions.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Our ability to make interest and principal payments and to fund our planned capital expenditures will depend on our ability to generate cash flows. Our ability to generate cash flows is, to a certain extent, subject to general economic, financial, competitive, legislative, regulatory and other factors that are beyond our control, such as an environment of rising or continuously high interest rates. To the extent we are impacted by macroeconomic trends, or other factors, including, but not limited to, lower demand for our business, increased rental product spend or tariffs, we plan to reduce fixed and variable costs accordingly and have established plans to preserve existing cash liquidity, which includes additional reductions to labor, operating expenses, and/or capital expenditures. However, these actions may not provide sufficient incremental liquidity to fund our debt service obligations when they become current. If our cash flows, capital resources and any measures to reduce fixed and variable costs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if needed, will depend on the condition of the capital markets and our financial condition at such time, as well as cooperation with our lender.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If we need to generate additional levels of cash to service our indebtedness or meet our covenant obligations, we may need to undertake additional cost-cutting measures. These financing risks, in addition to potential rising interest rates and changes in market conditions, if realized, could negatively impact our business, financial condition and results of operations. See “Note 6 —Long-Term Debt” in the Notes to the Condensed Consolidated Financial Statements for more information on our indebtedness and the Recapitalization Transactions.</w:t>
      </w:r>
    </w:p>
    <w:p>
      <w:pPr>
        <w:spacing w:after="0" w:line="232" w:lineRule="exact"/>
        <w:rPr>
          <w:sz w:val="20"/>
          <w:szCs w:val="20"/>
          <w:color w:val="auto"/>
        </w:rPr>
      </w:pPr>
    </w:p>
    <w:p>
      <w:pPr>
        <w:ind w:right="680"/>
        <w:spacing w:after="0" w:line="299" w:lineRule="auto"/>
        <w:rPr>
          <w:sz w:val="20"/>
          <w:szCs w:val="20"/>
          <w:color w:val="auto"/>
        </w:rPr>
      </w:pPr>
      <w:r>
        <w:rPr>
          <w:rFonts w:ascii="Arial" w:cs="Arial" w:eastAsia="Arial" w:hAnsi="Arial"/>
          <w:sz w:val="14"/>
          <w:szCs w:val="14"/>
          <w:b w:val="1"/>
          <w:bCs w:val="1"/>
          <w:i w:val="1"/>
          <w:iCs w:val="1"/>
          <w:color w:val="auto"/>
        </w:rPr>
        <w:t>Our New Credit Agreement contains covenants and other restrictions on our actions that may limit our operational flexibility or otherwise adversely affect our business, financial condition and results of operations.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 terms of our New Credit Agreement include a number of covenants that limit our ability to (subject to negotiated exceptions), among other things, incur additional indebtedness, incur liens on assets, enter into agreements related to mergers and acquisitions, dispose of assets or pay dividends and make distributions. These and other restrictions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 See Risks Related to the Recapitalization Transactions and Note 6 —Long-Term Debt in the Notes to the Condensed Consolidated Financial Statements for more information on our indebtedness and the Recapitalization Transactions.</w:t>
      </w:r>
    </w:p>
    <w:p>
      <w:pPr>
        <w:spacing w:after="0" w:line="5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 failure by us to comply with the covenants specified in the New Credit Agreement could result in an event of default under the agreement, which would give the lender the right to declare all borrowings outstanding, together with accrued and unpaid interest and fees, to be immediately due and payable. If the debt under the New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 and the price of our Class A stock could decline</w:t>
      </w:r>
      <w:r>
        <w:rPr>
          <w:rFonts w:ascii="Arial" w:cs="Arial" w:eastAsia="Arial" w:hAnsi="Arial"/>
          <w:sz w:val="14"/>
          <w:szCs w:val="14"/>
          <w:color w:val="auto"/>
        </w:rPr>
        <w:t>.</w:t>
      </w:r>
    </w:p>
    <w:p>
      <w:pPr>
        <w:spacing w:after="0" w:line="43"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as described below. As of April 30, 2026, these material weaknesses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4"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34"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46"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4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5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6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qualified executive officers.</w:t>
      </w:r>
    </w:p>
    <w:p>
      <w:pPr>
        <w:spacing w:after="0" w:line="221"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or a “smaller reporting company.” At such time, our compliance with Section 404 will require that we incur substantial expenses and expend significant management efforts. However, for as long as we are an “emerging growth company” or a “smaller reporting company with under $75M in public float,” our independent registered public accounting firm will not be required to attest to the effectiveness of our internal control over financial reporting pursuant to Section 404(b). See “We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80" w:right="140" w:hanging="193"/>
        <w:spacing w:after="0" w:line="271"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48"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80" w:right="80" w:hanging="193"/>
        <w:spacing w:after="0" w:line="271"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earnings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II, Item 7,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valuation of share-based compensation and warrants, and recoverability of long-lived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0"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i w:val="1"/>
          <w:iCs w:val="1"/>
          <w:color w:val="auto"/>
        </w:rPr>
        <w:t>Scrutiny and evolving expectations from consumers, investors, regulators, policymakers, employees and other stakeholders regarding environmental, social and governance matters may adversely impact our business and reputation.</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There has been heightened and, at times, conflicting stakeholder focus, including by consumers, investors, regulators, policymakers, employees and other stakeholders, on ESG matters generally and with regard to the fashion industry specifically. We expect that this increased focus on ESG considerations will affect some aspects of our operations. This requires continuous monitoring of various and evolving laws, regulations, standards and expectations and any associated reporting requirements. Such laws, regulations, standards and expectations may result in additional costs to us or we may become subject to additional requirements in order to comply with them. These laws, regulations, standards and expectations may conflict with one another or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spacing w:after="0" w:line="154"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Further, any failure or perceived failure to meet our Impact Strategy goals for any reason, including due to changes to the prioritization or scope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153"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Voluntary or required standards and research regarding ESG initiatives could change and become more onerous for both us and our third-party suppliers and vendors to meet successfully. Evolving data and research could undermine or refute ESG-related claims that we have made, which could also result in costs, a decrease in revenue and/or negative market perception that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will successfully meet our 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32"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4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57" w:lineRule="exact"/>
        <w:rPr>
          <w:sz w:val="20"/>
          <w:szCs w:val="20"/>
          <w:color w:val="auto"/>
        </w:rPr>
      </w:pPr>
    </w:p>
    <w:p>
      <w:pPr>
        <w:ind w:right="380"/>
        <w:spacing w:after="0" w:line="302" w:lineRule="auto"/>
        <w:rPr>
          <w:sz w:val="20"/>
          <w:szCs w:val="20"/>
          <w:color w:val="auto"/>
        </w:rPr>
      </w:pPr>
      <w:r>
        <w:rPr>
          <w:rFonts w:ascii="Arial" w:cs="Arial" w:eastAsia="Arial" w:hAnsi="Arial"/>
          <w:sz w:val="14"/>
          <w:szCs w:val="14"/>
          <w:b w:val="1"/>
          <w:bCs w:val="1"/>
          <w:i w:val="1"/>
          <w:iCs w:val="1"/>
          <w:color w:val="auto"/>
        </w:rPr>
        <w:t>The COVID-19 pandemic had a material adverse impact on our business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Other future pandemics or public health crises may have a similar adverse impact on our business.</w:t>
      </w:r>
    </w:p>
    <w:p>
      <w:pPr>
        <w:spacing w:after="0" w:line="19"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in general, and will assess our strategy and operational structure in light of future developments.</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20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 and failure to comply could potentially impact our operating and financial results.</w:t>
      </w:r>
    </w:p>
    <w:p>
      <w:pPr>
        <w:spacing w:after="0" w:line="3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data privacy, data security and data protection, AI,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or arbitration actions against companies, challenging automatic renewal, terms of service, and subscription programs.</w:t>
      </w:r>
    </w:p>
    <w:p>
      <w:pPr>
        <w:spacing w:after="0" w:line="14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31"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claims,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21"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From time to time, we may be subject to claims, lawsuits, government investigations, and other proceedings involving products liability, competition and antitrust, intellectual property, data privacy, data security and data protection,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14, Commitments and Contingencies” in the Notes to the Condensed Consolidated Financial Statements for more details about the class action and other matters.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and mass arbitrations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and our insurance coverage and assets may be insufficient to cover these cost. Adverse outcomes with respect to claims, litigation or any of these legal proceedings may result in significant settlement costs or judgments, damages, penalties and fines, or require us to modify our products and offerings or other business processes, which could negatively affect our financial performance or our revenue growth and/or cash balances.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46"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5"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particularly as our use of AI tools and resources (and the use of AI tools and resources by third parties) increases, if we or our third-party partners fail to adequately safeguard our intellectual property. Failure to adequately protect and enforce our intellectual property rights and/or develop new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which could compete with or devalue our business. For example, the trademark clearance and prosecution process is expensive and time consuming. As such, we may not be able to engage in the clearance process or obtain registrations for every trademark that we use. If our unregistered trademarks are infringed, we may have inadequate protections in place to enforce against third party uses. Additionally, we may not timely or successfully register our trademarks in all jurisdictions, which could enable third parties to use or inhibit use of our brand name and thus create potential impediments to our business, including any efforts to expand the business outside of the U.S. The copyright registrations we have obtained for our website may not adequately protect all material contained on our website, and these registrations do not cover any material that is not part of our website. As such, if our copyrighted works are infringed or otherwise violated, we may not have sufficient registrations in place to enforce our rights in court or to obtain potentially available statutory damages, and we may need to take additional steps to be able to enforce our rights.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work-for-hire or assignment provisions. However, we cannot guarantee that we have entered into such agreements with each party that has developed intellectual property for us or that may have had access to our proprietary information and technology, know-how, and trade secrets, and in certain jurisdictions the agreements that we have entered into may not be enforceable.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may be required to spend significant financial and managerial resources to monitor and protect our intellectual property rights. Litigation and other enforcement actions may be necessary in the future to enforce our intellectual property rights and to protect our trade secrets. The legal systems of certain countries do not favor the enforcement of patents, trademarks, copyrights, trade secrets and other intellectual property and proprietary protection, which could make it difficult for us to stop the infringement, misappropriation, dilution or other violation of our intellectual property or marketing of competing products or solutions in violation of our intellectual property or proprietary rights generally. In particular, the ownership, protectability and enforceability of intellectual property and other proprietary rights arising from or in connection with the use of AI is subject to uncertainty and has not been fully addressed by laws or courts inside or outside the U.S.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proceedings could result in rendering our patents unenforceable or could result in narrowing the scope of the patent claims so that they no longer cover the technology we intend to protect. The outcome following legal assertions of invalidity and unenforceability is unpredictable. An adverse result in any litigation or defense proceedings could have a material adverse impact on our business by making the technology at issue freely available for others to use. Our inability to protect our trade secrets and proprietary technology against unauthorized copying, disclosure,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even with appropriate protective mechanisms in place,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For example, as trademark clearance and prosecution matters can be expensive and time consuming, we may not be able to engage in a comprehensive clearance process or obtain registrations for every trademark that we use. As such, a third party could claim that our unregistered mark closely resembles the third party’s trademark used for similar services and could make trademark infringement or passing off claims against us. Further, we may not be able to engage in copyright clearance for all content that we use in our business. As such, third parties could claim that content on our website or social media pages (or posted by social media influencers or brand ambassadors that we engage) infringes or otherwise violates the intellectual property rights of others.</w:t>
      </w:r>
    </w:p>
    <w:p>
      <w:pPr>
        <w:spacing w:after="0" w:line="24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measures in place designed to avoid infringing, misappropriating or otherwise violating the intellectual property rights of others. However, there is a risk that third parties may assert patent infringement claims against us for the sole purpose of extracting a settlement for a sum that may amount to nuisance value. For example, non-practicing entities may file lawsuits against us, regardless of merit, seeking to arrive at a quick settlement and payment. Moreover, despite our efforts to ensure that our employees and other third parties do not use the intellectual property and other proprietary information of third parties in their work for us, we may be subject to claims that we, our employees or third parties working on our behalf have inadvertently or otherwise used or disclosed intellectual property or other proprietary information of a former employer or other third parties.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may also be subject to claims of infringement, misappropriation or other violation related to rental product designs and/or content provided by our third-party partners such as brands, influencers, marketing partners and other third parties. Although we aim to have contractual remedies and indemnification rights in our third-party agreements, such provisions may be inadequate. For example, from time to time, we have received cease and desist and demand letters from third parties in connection with our use of certain marketing and advertising assets and our rental product designs,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such claims,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Insurance coverage for infringement, misappropriation or other claims may not be available at all or only on very limited terms, and may be inadequate to cover potential costs and losses. Further, licenses may not be available to us on reasonable terms, if at all. Any of these events could harm our business and cause our results of operations, liquidity and financial condition to suffer.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to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particularly with limited community support, may also present additional security risks because the public availability of such software may make it easier for hackers and other third parties to compromise our platform. Further, due to the ad hoc nature of updates to open-source software, we may be unable to maintain the most secure versions of the software. Any of the foregoing could be harmful to our business, financial condition, or results of operations and could help our competitors develop offerings that are similar to or better than ours.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industry standards and consumer expectations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spacing w:after="0" w:line="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payment card numbers (through our payment processor) and approximate location information.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 regulations, standards or guidelines.</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U.S. data privacy, data security, data protection, and consumer protection laws are complex and changing rapidly, with the frequent imposition of new and changing requirements across our business. Many U.S. states have enacted, or are considering enacting, laws regulating the online collection, use, processing,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Further, the California Consumer Privacy Act of 2018, as amended by the California Privacy Rights Act of 2020 (collectively,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multiple additional states. The enactment of such laws could have potentially conflicting requirements that would make compliance challenging, resulting in further 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spacing w:after="0" w:line="146"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as well as place outbound telephone calls to communicate with current and former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 as well as our subscription-based business.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European Economic Area,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evolving privacy policy requirements of the mobile application platforms, the adoption by consumers of browser settings or “ad-blocking” software, and the development and deployment of new technologies (including technologies using AI) could materially impact our ability to collect data or reduce our ability to deliver relevant promotions or media, which could materially impair the results of our operations. In addition, while we strive to publish and prominently display privacy policies that are accurate, comprehensive, and compliant with applicable laws, regulations and industry standards, we cannot ensure that our privacy policies and other statements regarding our practices will be sufficient to protect us from claims, proceedings, liability or adverse publicity relating to data privacy, data security, data protection and consumer protection. Although we endeavor to comply with our privacy policies, we may at times fail to do so or be alleged to have failed to do so, and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or if our practices are not consistent or viewed as not consistent with legal and regulatory requirements, including changes in laws and regulations or new interpretations or applications of existing laws and regulations, we may become subject to audits, inquiries, whistleblower complaints, adverse media coverage, investigations, loss of export privileges, or severe criminal or civil sanctions, any of which may have a material adverse effect on our business, financial condition, and results of operations.</w:t>
      </w:r>
    </w:p>
    <w:p>
      <w:pPr>
        <w:spacing w:after="0" w:line="320" w:lineRule="exact"/>
        <w:rPr>
          <w:sz w:val="20"/>
          <w:szCs w:val="20"/>
          <w:color w:val="auto"/>
        </w:rPr>
      </w:pPr>
    </w:p>
    <w:p>
      <w:pPr>
        <w:jc w:val="both"/>
        <w:ind w:right="60"/>
        <w:spacing w:after="0" w:line="265" w:lineRule="auto"/>
        <w:rPr>
          <w:sz w:val="20"/>
          <w:szCs w:val="20"/>
          <w:color w:val="auto"/>
        </w:rPr>
      </w:pPr>
      <w:r>
        <w:rPr>
          <w:rFonts w:ascii="Arial" w:cs="Arial" w:eastAsia="Arial" w:hAnsi="Arial"/>
          <w:sz w:val="14"/>
          <w:szCs w:val="14"/>
          <w:color w:val="auto"/>
        </w:rPr>
        <w:t>Further, we are subject to the Payment Card Industry Data Security Standard (“PCI DSS”), which is a multifaceted security standard that is designed to protect payment card data as mandated by payment card industry entities. We rely on vendors to handle PCI DSS matters for us and to ensure PCI DSS compliance. Despite our compliance efforts, we may become subject to claims that we have violated the PCI DSS, based on past, present, and future business practices, which could subject us to fines, restrictions and expulsion from card acceptance programs, have an adverse impact on our business and reputation, and be costly for us to defend.</w:t>
      </w:r>
    </w:p>
    <w:p>
      <w:pPr>
        <w:spacing w:after="0" w:line="138"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use of AI tools and resources may also subject us to additional data privacy, data security, data protection and consumer protection risks that may impact our business. See “Risks Related to Our Business and Industry—Our use of AI may subject us to new or heightened legal, regulatory, ethical, operational or other challenges.”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may not be successful in achieving compliance with the rapidly evolving data privacy, data security, AI, data protection, and consumer protection requirements discussed above, as well as other data privacy, security, AI, and consumer protection frameworks that currently, or may in the future, apply to us, despite our efforts to comply. All of these frameworks are constantly evolving and are not always consistent with each other, leading to uncertainty in interpretation. Additionally, despite our best compliance efforts, our service providers or partners may not uphold their legal, regulatory or contractual obligations to comply with these data privacy, data security, data protection, consumer protection or AI requirements, thereby exposing us to risks in these areas. Any actual or perceived non-compliance could result in litigation (including class action lawsuits and mass arbitrations)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and third-party indemnification agreements may not be adequate to compensate us for the potential losses arising from any such litigation or proceedings, or from disruptions in or failure or security intrusion of our IT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emission and discharge of wastewater; the health and safety of our employees; and the maintenance of our facilities and operations. Our compliance efforts are expected to require ongoing investments and may be costly to maintain.</w:t>
      </w:r>
    </w:p>
    <w:p>
      <w:pPr>
        <w:spacing w:after="0" w:line="323" w:lineRule="exact"/>
        <w:rPr>
          <w:sz w:val="20"/>
          <w:szCs w:val="20"/>
          <w:color w:val="auto"/>
        </w:rPr>
      </w:pPr>
    </w:p>
    <w:p>
      <w:pPr>
        <w:ind w:right="40"/>
        <w:spacing w:after="0"/>
        <w:rPr>
          <w:sz w:val="20"/>
          <w:szCs w:val="20"/>
          <w:color w:val="auto"/>
        </w:rPr>
      </w:pPr>
      <w:r>
        <w:rPr>
          <w:rFonts w:ascii="Arial" w:cs="Arial" w:eastAsia="Arial" w:hAnsi="Arial"/>
          <w:sz w:val="14"/>
          <w:szCs w:val="14"/>
          <w:color w:val="auto"/>
        </w:rPr>
        <w:t>These laws and regulations are complex and evolving. Despite our efforts, we have been, and may in the future be, subject to claims that we have violated such laws and regulations based on past, present, and future practices, which could have an adverse impact on our business and reputation, and be costly for us to defend. For example, we have received notices from regulatory agencies regarding permitting issues and compliance deficiencies related to our warehouse operations; we cannot guarantee that these or future matters will continue to be immaterial or resolved successfully. Failure to comply with such laws and regulations, which tend to become more stringent over time, failure to obtain or maintain permits necessary for our warehouse operations, or failure to favorably resolve violation notices can result in significant fines, penalties, costs, liabilities or restrictions on operations (including shutdown), injunctive relief, civil or criminal sanctions, and could expose us to costs of investigation or remediation, as well as tort claims for property damage</w:t>
      </w:r>
    </w:p>
    <w:p>
      <w:pPr>
        <w:spacing w:after="0" w:line="3" w:lineRule="exact"/>
        <w:rPr>
          <w:sz w:val="20"/>
          <w:szCs w:val="20"/>
          <w:color w:val="auto"/>
        </w:rPr>
      </w:pPr>
    </w:p>
    <w:p>
      <w:pPr>
        <w:jc w:val="both"/>
        <w:ind w:right="20"/>
        <w:spacing w:after="0" w:line="229" w:lineRule="auto"/>
        <w:rPr>
          <w:sz w:val="20"/>
          <w:szCs w:val="20"/>
          <w:color w:val="auto"/>
        </w:rPr>
      </w:pPr>
      <w:r>
        <w:rPr>
          <w:rFonts w:ascii="Arial" w:cs="Arial" w:eastAsia="Arial" w:hAnsi="Arial"/>
          <w:sz w:val="14"/>
          <w:szCs w:val="14"/>
          <w:color w:val="auto"/>
        </w:rPr>
        <w:t>or personal injury, and could negatively affect our business, financial condition or results of operations. Liability for the improper release or disposal of waste can be joint and several and significant and there can be no assurance that we will not have to expend material amounts to remediate the consequences of the generation or disposal of waste in the future,</w:t>
      </w:r>
    </w:p>
    <w:p>
      <w:pPr>
        <w:ind w:right="100"/>
        <w:spacing w:after="0" w:line="242" w:lineRule="auto"/>
        <w:rPr>
          <w:sz w:val="20"/>
          <w:szCs w:val="20"/>
          <w:color w:val="auto"/>
        </w:rPr>
      </w:pPr>
      <w:r>
        <w:rPr>
          <w:rFonts w:ascii="Arial" w:cs="Arial" w:eastAsia="Arial" w:hAnsi="Arial"/>
          <w:sz w:val="14"/>
          <w:szCs w:val="14"/>
          <w:color w:val="auto"/>
        </w:rPr>
        <w:t>particularly with respect to our cleaning operations. Further, we may be responsible as a lessee operator for the costs of investigation, removal or remediation of hazardous or non-hazardous substances or waste located on or in or emanating from our leased properties, as well as any property damage. Insurance coverage for such matters is unlikely to be available and, even if available, it may be inadequate to cover potential costs and losses. There can be no assurance that our future operations, properties, uses or conditions will not result in the imposition of liability upon us under environmental laws or other regulations, or expose us to third-party actions such as tort suits.</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As of January 31, 2026, we had federal net operating loss carryforwards of $507.3 million, $ 7.8 million of which will expire at various times through 2038. Furthermore, we had state net operating loss carryforwards of $537.9 million, which will expire at various times through 2045. Portions of these net operating loss carryforwards could expire unused and be unavailable to offset future income tax liabilities. While our U.S. federal net operating losses incurred in taxable years beginning after December 31, 2017, may be carried forward indefinitely, the utilization of such losses is subject to limitations. In addition, for state income tax purposes, there may be periods during which the use of net operating loss carryforwards is suspended or otherwise limited, which could accelerate or permanently increase state taxes owed.</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under Sections 382 and 383 of the Internal Revenue Code of 1986, as amended (the “Code”), and corresponding provisions of state law, an ownership change, generally defined as a significant change in equity ownership, may limit the Company’s ability to utilize net operating loss carryforwards and other tax attributes generated prior to the change. The Company previously completed a Section 382 analysis and concluded that an ownership change occurred in 2010; however, all net operating losses subject to that limitation were fully utilized in prior periods. The Company subsequently updated its Section 382 analysis through November 2025 and further determined that an additional ownership change occurred on October 28, 2025. As a result, net operating losses arising prior to that date are subject to annual limitations on utilization under Section 382, which may limit the amount of such net operating losses available to offset future taxable income. These limitations were considered in assessing the realizability of the Company’s deferred tax assets, and the Company has recorded a full valuation allowance against its U.S. deferred tax assets.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their interpretation;</w:t>
      </w:r>
    </w:p>
    <w:p>
      <w:pPr>
        <w:spacing w:after="0" w:line="93"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limitations on the utilization of net operating losses and other tax attributes, including those arising under Sections 382, 383 and 108 of the Code;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do not view our brand or financial profile favorably;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We rely on third parties to provide the payment processing infrastructure underlying our business. If these third-party providers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rely on third parties to provide payment processing infrastructure, to accept card payments from customers, process and administer gift cards,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Outages or other failures of our payment processor or third-party partners could harm our business and cause customers to lose trust in our payment operations and cause them to discontinue use of our products and services. If the quality or convenience of our payment operations or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spacing w:after="0" w:line="229"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10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previously migrated a substantial portion of our primary production environment, core architecture, and data storage to a third-party cloud provider, which provides a distributed computing infrastructure as a service platform for business operations. We are in the process of consolidating even more of our production environment, architecture, and data storage with this cloud provider and retain a separate third-party cloud provider for other discrete portions of our business. The consolidation of most of our business operations into a single cloud provider is intended to drive efficiencies and improve costs but could increase the impact to our company in the event of a security incident or other type of service interruption (as further described below). Further, this migration may take longer than anticipated, result in higher costs than planned, and lead to significant business disruption if our migration does not go as planned.</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cloud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color w:val="auto"/>
        </w:rPr>
        <w:t>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w:t>
      </w:r>
    </w:p>
    <w:p>
      <w:pPr>
        <w:spacing w:after="0"/>
        <w:rPr>
          <w:sz w:val="20"/>
          <w:szCs w:val="20"/>
          <w:color w:val="auto"/>
        </w:rPr>
      </w:pPr>
      <w:r>
        <w:rPr>
          <w:rFonts w:ascii="Arial" w:cs="Arial" w:eastAsia="Arial" w:hAnsi="Arial"/>
          <w:sz w:val="14"/>
          <w:szCs w:val="14"/>
          <w:color w:val="auto"/>
        </w:rPr>
        <w:t>these types of disruptions could damage our brand and reputation and may adversely impact our business.</w:t>
      </w:r>
    </w:p>
    <w:p>
      <w:pPr>
        <w:spacing w:after="0" w:line="16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primary third-party cloud providers do not have an obligation to renew their agreements with us on terms acceptable to us or at all. Although alternative cloud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agreements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and cross-context behavioral 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 w:cs="Arial" w:eastAsia="Arial" w:hAnsi="Arial"/>
          <w:sz w:val="14"/>
          <w:szCs w:val="14"/>
          <w:color w:val="auto"/>
        </w:rPr>
        <w:t>.</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spacing w:after="0" w:line="14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 Finally, if consumer use of AI agents or other AI tools grows, this may in turn reduce the usage of search engines, which could also result in reduced traffic to our websites. For risks related to AI, see “Our use of AI may subject us to new or heightened legal, regulatory, ethical, operational or other challenges.”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 and other online sources often revise their algorithms, products, and APIs, introduce new advertising products and respond to regulator and/or industry standards group expectations.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consumers may have difficulty accessing our sites, and our business and operating results are likely to suffer. Also, bots and non-human traffic accessing our site skew reporting, making results and trends more difficult to discern and, as a result, may impact our ability to assess the</w:t>
      </w:r>
    </w:p>
    <w:p>
      <w:pPr>
        <w:spacing w:after="0" w:line="3"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effectiveness of our marketing and product offerings, which could adversely affect our business and operating results. Our efforts to attract consumers and convert them into customers also rely on the use of cookies and similar tracking technologies, and our ability to use and benefit from such technologies may be restricted or prohibited by changes in</w:t>
      </w:r>
    </w:p>
    <w:p>
      <w:pPr>
        <w:ind w:right="60"/>
        <w:spacing w:after="0" w:line="241" w:lineRule="auto"/>
        <w:rPr>
          <w:sz w:val="20"/>
          <w:szCs w:val="20"/>
          <w:color w:val="auto"/>
        </w:rPr>
      </w:pPr>
      <w:r>
        <w:rPr>
          <w:rFonts w:ascii="Arial" w:cs="Arial" w:eastAsia="Arial" w:hAnsi="Arial"/>
          <w:sz w:val="14"/>
          <w:szCs w:val="14"/>
          <w:color w:val="auto"/>
        </w:rPr>
        <w:t>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5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such channels increase, we may incur additional marketing expenses or be required to allocate a larger portion of our marketing spend to other channels and our business and operating results could be adversely affected.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or on our behalf to abide by applicable laws and regulations in the use of these platforms and devices or otherwise could subject us to regulatory investigations, class action lawsuits, mass arbitrations, liability, fines or other penalties and have an adverse effect on our business, financial condition, results of operations and prospects.</w:t>
      </w:r>
    </w:p>
    <w:p>
      <w:pPr>
        <w:spacing w:after="0" w:line="229"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jc w:val="both"/>
        <w:ind w:right="3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The products we rent or sell to our customers are subject to regulation by the U.S.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spacing w:after="0" w:line="229" w:lineRule="exact"/>
        <w:rPr>
          <w:sz w:val="20"/>
          <w:szCs w:val="20"/>
          <w:color w:val="auto"/>
        </w:rPr>
      </w:pPr>
    </w:p>
    <w:p>
      <w:pPr>
        <w:jc w:val="both"/>
        <w:ind w:right="120"/>
        <w:spacing w:after="0" w:line="276" w:lineRule="auto"/>
        <w:rPr>
          <w:sz w:val="20"/>
          <w:szCs w:val="20"/>
          <w:color w:val="auto"/>
        </w:rPr>
      </w:pPr>
      <w:r>
        <w:rPr>
          <w:rFonts w:ascii="Arial" w:cs="Arial" w:eastAsia="Arial" w:hAnsi="Arial"/>
          <w:sz w:val="14"/>
          <w:szCs w:val="14"/>
          <w:b w:val="1"/>
          <w:bCs w:val="1"/>
          <w:i w:val="1"/>
          <w:iCs w:val="1"/>
          <w:color w:val="auto"/>
        </w:rPr>
        <w:t>Our insurance coverage may be insufficient to cover all of our liabilities and coverage needs. If our insurance coverage is insufficient for the needs of our business or otherwise or our insurance providers are unable or unwilling to meet their obligations, it could have an adverse effect on our business, financial condition and results of operations and/or we may not be able to mitigate the risks facing our business.</w:t>
      </w:r>
    </w:p>
    <w:p>
      <w:pPr>
        <w:spacing w:after="0" w:line="37"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procure third-party insurance policies that are intended to cover various operations-related risks including employment practices liability, workers’ compensation, property and business interruptions, cybersecurity and data security incidents, crime, directors’ and officers’ liability, and general business liabilities; however our insurance policies may fail to meet all of our coverage needs and liabilities. In addition, we are required to maintain certain levels of insurance coverage in certain commercial agreements, such as our real estate leases, and in our New Credit Agreement; however, we cannot guarantee that we will continue to maintain adequate insurance coverage on favorable terms that meets our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and/or liability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Insurance providers have also raised premiums, self-insured retentions, and deductibles for many businesses in the past,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currently noncompliant with Nasdaq Listing Rule 5605(c)(2)(A), which requires listed companies to have at least three audit committee members.</w:t>
      </w:r>
    </w:p>
    <w:p>
      <w:pPr>
        <w:spacing w:after="0" w:line="187" w:lineRule="exact"/>
        <w:rPr>
          <w:sz w:val="20"/>
          <w:szCs w:val="20"/>
          <w:color w:val="auto"/>
        </w:rPr>
      </w:pPr>
    </w:p>
    <w:p>
      <w:pPr>
        <w:ind w:right="740"/>
        <w:spacing w:after="0" w:line="274" w:lineRule="auto"/>
        <w:rPr>
          <w:sz w:val="20"/>
          <w:szCs w:val="20"/>
          <w:color w:val="auto"/>
        </w:rPr>
      </w:pPr>
      <w:r>
        <w:rPr>
          <w:rFonts w:ascii="Arial" w:cs="Arial" w:eastAsia="Arial" w:hAnsi="Arial"/>
          <w:sz w:val="14"/>
          <w:szCs w:val="14"/>
          <w:color w:val="auto"/>
        </w:rPr>
        <w:t>On October 28, 2025, we notified Nasdaq of our non-compliance with Nasdaq Listing Rule 5605(c)(2)(A), which requires that the Audit Committee be comprised of three independent directors, and our intent to rely on the cure period provided by Nasdaq Listing Rule 5605(c)(4)(B).</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While we intend to appoint an independent director to the Audit Committee no later than our 2026 annual meeting of stockholders, as provided by Nasdaq Listing Rule 5605(c)(4) (B), there can be no assurances that we will be able to evidence compliance with all applicable requirements for continued listing on Nasdaq within the required timeframe. The failure to meet continuing compliance standards subjects our Class A Common Stock to a possible delisting. A delisting of our Class A Common Stock would have an adverse effect on the market liquidity of our Class A Common Stock and, as a result, the market price for our Class A Common Stock could become more volatile. Further, a delisting also could make it more difficult for us to raise additional capital.</w:t>
      </w:r>
    </w:p>
    <w:p>
      <w:pPr>
        <w:spacing w:after="0" w:line="15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32"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80" w:hanging="193"/>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$1.235 billion or more;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right="60"/>
        <w:spacing w:after="0" w:line="260" w:lineRule="auto"/>
        <w:rPr>
          <w:sz w:val="20"/>
          <w:szCs w:val="20"/>
          <w:color w:val="auto"/>
        </w:rPr>
      </w:pPr>
      <w:r>
        <w:rPr>
          <w:rFonts w:ascii="Arial" w:cs="Arial" w:eastAsia="Arial" w:hAnsi="Arial"/>
          <w:sz w:val="14"/>
          <w:szCs w:val="14"/>
          <w:color w:val="auto"/>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 See also “Our shares of Class A common stock are listed on the Nasdaq Global Market, and we are a ‘controlled company’ within the meaning of the rules and listing standards of The Nasdaq Stock Market LLC (Nasdaq). As a result, we qualify for, and intend to rely on, exemptions from certain corporate governance requirements. Our stockholders therefore do not have the same protections as those afforded to stockholders of companies that are subject to such governance requirements, which could make our Class A common stock less attractive to investors or otherwise harm our stock price.”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46" w:lineRule="exact"/>
        <w:rPr>
          <w:sz w:val="20"/>
          <w:szCs w:val="20"/>
          <w:color w:val="auto"/>
        </w:rPr>
      </w:pPr>
    </w:p>
    <w:p>
      <w:pPr>
        <w:ind w:left="560" w:hanging="173"/>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4"/>
          <w:szCs w:val="14"/>
          <w:color w:val="auto"/>
        </w:rPr>
        <w:t>the Recapitalization Transactions;</w:t>
      </w:r>
    </w:p>
    <w:p>
      <w:pPr>
        <w:spacing w:after="0" w:line="81" w:lineRule="exact"/>
        <w:rPr>
          <w:rFonts w:ascii="Arial" w:cs="Arial" w:eastAsia="Arial" w:hAnsi="Arial"/>
          <w:sz w:val="16"/>
          <w:szCs w:val="16"/>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93"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 in global trade policies, tariffs and other measures that could restrict international trade;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overall stock market conditions;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80" w:right="400" w:hanging="193"/>
        <w:spacing w:after="0" w:line="290"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impact of COVID-19 or future pandemics on our business or the fashion industry and sharing economy generally;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if securities or industry analysts publish research about our business, or if they publish unfavorable research;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geopolitical conditions, including war, incidents of terrorism, or responses to these events.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Our management has broad discretion, subject to our New Credit Agreement and Board oversight,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Quarterly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4"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See Risks Related to the Recapitalization Transactions and “Note 6 - Long-Term Debt” in the Notes to the Condensed Consolidated Financial Statements for more information on the Recapitalization Transactions, including the sale and issuance of our common stock.</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Generally, 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including but not limited to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and performance stock units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65"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Our shares of Class A common stock are listed on the Nasdaq Global Market, and we are a “controlled company” within the meaning of the rules and listing standards of The Nasdaq Stock Market LLC (Nasdaq). As a result, we rely on exemptions from certain corporate governance requirements. Our stockholders do not have the same protections as those afforded to stockholders of companies that are not “controlled,” which could make our Class A common stock less attractive to investors or otherwise harm our stock price.</w:t>
      </w:r>
    </w:p>
    <w:p>
      <w:pPr>
        <w:spacing w:after="0" w:line="14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CHS US Investments LLC (“CHS”) and its affiliates control a majority of the voting power of our outstanding Class A common stock. As a result, we are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w:t>
      </w:r>
    </w:p>
    <w:p>
      <w:pPr>
        <w:spacing w:after="0" w:line="159" w:lineRule="exact"/>
        <w:rPr>
          <w:sz w:val="20"/>
          <w:szCs w:val="20"/>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are not required to have a board that is composed of a majority of “independent directors,” as defined under the rules and listing standards of Nasdaq;</w:t>
      </w:r>
    </w:p>
    <w:p>
      <w:pPr>
        <w:spacing w:after="0" w:line="22" w:lineRule="exact"/>
        <w:rPr>
          <w:rFonts w:ascii="Arial" w:cs="Arial" w:eastAsia="Arial" w:hAnsi="Arial"/>
          <w:sz w:val="14"/>
          <w:szCs w:val="14"/>
          <w:color w:val="auto"/>
        </w:rPr>
      </w:pPr>
    </w:p>
    <w:p>
      <w:pPr>
        <w:ind w:left="520" w:right="240" w:hanging="260"/>
        <w:spacing w:after="0" w:line="253"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are not required to have a compensation committee that is composed entirely of independent directors or have a written charter addressing the committee’s purpose and responsibilities; and</w:t>
      </w:r>
    </w:p>
    <w:p>
      <w:pPr>
        <w:ind w:left="520" w:right="80" w:hanging="260"/>
        <w:spacing w:after="0" w:line="269"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are not required to have director nominations be made by or recommended to the full board of directors, by its independent directors, or by a nominations committee that is composed entirely of independent directors, or to adopt a written charter or a board resolution addressing the nominations process.</w:t>
      </w:r>
    </w:p>
    <w:p>
      <w:pPr>
        <w:spacing w:after="0" w:line="156"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utilize, and intend to continue to utilize, certain of these exemptions. We do not have a compensation committee or a nominating and corporate governance committee. Accordingly, our stockholders do not have the same protections afforded to stockholders of companies that are subject to all of the corporate governance requirements of Nasdaq, which could make our Class A common stock less attractive to some investors or otherwise harm our stock price.</w:t>
      </w:r>
    </w:p>
    <w:p>
      <w:pPr>
        <w:spacing w:after="0" w:line="155"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If at any time we cease to be a “controlled company” under Nasdaq listing rules, our board of directors will take all action necessary to comply with Nasdaq’s corporate governance rules, including establishing certain committees composed entirely of independent directors, subject to a permitted “phase-in” period. Notwithstanding our status as a controlled company, we will remain subject to the Nasdaq corporate governance standards that require us to have an audit committee with at least three independent directors, as well as to be composed entirely of independent directors. See “We are currently noncompliant with Nasdaq Listing Rule 5605(c)(2)(A), which requires listed companies to have at least three audit committee members.”</w:t>
      </w:r>
    </w:p>
    <w:p>
      <w:pPr>
        <w:spacing w:after="0" w:line="163"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There are provisions in our Amended Charter and Second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560" w:right="2120" w:hanging="5173"/>
        <w:spacing w:after="0" w:line="986" w:lineRule="auto"/>
        <w:tabs>
          <w:tab w:leader="none" w:pos="569" w:val="left"/>
        </w:tabs>
        <w:numPr>
          <w:ilvl w:val="0"/>
          <w:numId w:val="44"/>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-276860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right="320" w:hanging="193"/>
        <w:spacing w:after="0" w:line="271"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80" w:right="68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subject to certain exceptions, thereby requiring that all stockholder actions be taken at a meeting of our stockholders;</w:t>
      </w:r>
    </w:p>
    <w:p>
      <w:pPr>
        <w:spacing w:after="0" w:line="35" w:lineRule="exact"/>
        <w:rPr>
          <w:rFonts w:ascii="Arial" w:cs="Arial" w:eastAsia="Arial" w:hAnsi="Arial"/>
          <w:sz w:val="14"/>
          <w:szCs w:val="14"/>
          <w:color w:val="auto"/>
        </w:rPr>
      </w:pPr>
    </w:p>
    <w:p>
      <w:pPr>
        <w:ind w:left="580" w:right="32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investor rights agreement), subject to certain exceptions;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51"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Charter to be inapplicable or unenforceable in an action, we could incur further significant additional costs associated with resolving the dispute in other jurisdictions, all of which could seriously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effects of climate change and related regulatory, customer and investor responses may adversely impact our business.</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Appointment of Interim Chief Financial Officer</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On June 3, 2026, the Company announced the appointment of David Loretta as interim Chief Financial Officer and Treasurer, effective June 8, 2026, to serve until a permanent Chief Financial Officer and Treasurer is appointed. Mr. Loretta, age 58, served as Chief Financial Officer of The Honest Company, Inc., a consumer products company, from September 2023 to June 2025. Prior to that, from July 2017 to September 2023, Mr. Loretta served as Senior Vice President and Chief Financial Officer of Duluth Trading Company, a workwear and accessories company where he led and supported the finance, accounting, audit, inventory planning, real estate, risk management, legal, strategy, and investor relations teams. Prior to joining Duluth, Mr. Loretta founded and operated his own specialty food and beverage business, Pacific Time, LLC, from 2014 to 2016. Prior to that, Mr. Loretta spent more than a decade at Nordstrom, Inc. in various leadership roles from 2000 to 2013, including serving as President and Chief Financial Officer of Nordstrom Bank from 2009 to 2013. During his tenure, Mr. Loretta was responsible for financial reporting, budgeting, forecasting and long-range strategic planning as well as operational leadership. Previously at Nordstrom he served as corporate Vice President and Treasurer from 2005 to 2009 overseeing treasury, investor relations and corporate development. Before Nordstrom, Mr. Loretta was Director of Planning and Analysis for Restoration Hardware, Inc., where he developed a companywide budgeting, forecasting and reporting process for the retail stores, catalog direct mail and e-commerce. Mr. Loretta holds a B.A. from the University of California, Riverside, and an M.B.A. from San Diego State University.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connection with his temporary employment, Mr. Loretta will be paid an annual base salary of $ 540,000 and will be eligible to receive bonus compensation under our cash incentive program for fiscal year 2026 with a target cash bonus of 35% of his annual base salary for the current fiscal year, pro-rated based on his tenure with us. Mr. Loretta will be eligible to participate in our benefits as may be offered from time to time to other similarly situated employees. There are no arrangements between Mr. Loretta and any other persons pursuant to which he was appointed to serve as our interim Chief Financial Officer and Treasurer. There are no family relationships between Mr. Loretta and any director or executive officer of the Company, and he has no direct or indirect material interest in any transaction required to be disclosed pursuant to Item 404(a) of Regulation S-K.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10b5-1 Trading Arrangements</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Dhiren Fonseca, Executive Chairman adopted a Rule 10b5-1 trading arrangement on April 24, 2026, that is intended to satisfy the affirmative defense of Rule 10b5-1(c) under the Exchange Act solely for the sale of the appropriate number of shares of our Class A common stock needed to satisfy minimum required federal, state, local, and foreign income and/or employment taxes in connection with the vesting of restricted stock units and performance stock units. The arrangement does not have a termination date.</w:t>
      </w:r>
    </w:p>
    <w:p>
      <w:pPr>
        <w:spacing w:after="0" w:line="155"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On April 17, 2026, Cara Schembri, Chief Legal &amp; Administrative Officer, adopted a Rule 10b5-1 trading arrangement that is intended to satisfy the affirmative defense of Rule 10b5-1(c) under the Exchange Act for the sale of up to 20,335 shares of our Class A stock and up to 16,636 restricted stock units (on a net share basis following the vesting, settlement, and sell-to-cover transactions) until April 16, 2027.</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i w:val="1"/>
          <w:iCs w:val="1"/>
          <w:color w:val="auto"/>
        </w:rPr>
        <w:t>Item 6. Exhibits</w:t>
      </w:r>
    </w:p>
    <w:p>
      <w:pPr>
        <w:spacing w:after="0" w:line="102" w:lineRule="exact"/>
        <w:rPr>
          <w:sz w:val="20"/>
          <w:szCs w:val="20"/>
          <w:color w:val="auto"/>
        </w:rPr>
      </w:pPr>
    </w:p>
    <w:p>
      <w:pPr>
        <w:ind w:left="600" w:hanging="213"/>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4"/>
          <w:szCs w:val="14"/>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1"/>
                <w:szCs w:val="11"/>
                <w:b w:val="1"/>
                <w:bCs w:val="1"/>
                <w:color w:val="auto"/>
              </w:rPr>
              <w:t>Incorporated by Reference</w:t>
            </w:r>
          </w:p>
        </w:tc>
        <w:tc>
          <w:tcPr>
            <w:tcW w:w="1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120" w:type="dxa"/>
            <w:vAlign w:val="bottom"/>
            <w:gridSpan w:val="2"/>
          </w:tcPr>
          <w:p>
            <w:pPr>
              <w:ind w:left="340"/>
              <w:spacing w:after="0" w:line="112" w:lineRule="exact"/>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20"/>
          </w:tcPr>
          <w:p>
            <w:pPr>
              <w:spacing w:after="0"/>
              <w:rPr>
                <w:sz w:val="20"/>
                <w:szCs w:val="20"/>
                <w:color w:val="auto"/>
              </w:rPr>
            </w:pPr>
            <w:r>
              <w:rPr>
                <w:rFonts w:ascii="Arial" w:cs="Arial" w:eastAsia="Arial" w:hAnsi="Arial"/>
                <w:sz w:val="11"/>
                <w:szCs w:val="11"/>
                <w:b w:val="1"/>
                <w:bCs w:val="1"/>
                <w:color w:val="auto"/>
              </w:rPr>
              <w:t>Description of Exhibit</w:t>
            </w:r>
          </w:p>
        </w:tc>
        <w:tc>
          <w:tcPr>
            <w:tcW w:w="8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File No.</w:t>
            </w: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Exhibit</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4"/>
                <w:szCs w:val="1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Filed / Furnished Herewith</w:t>
            </w:r>
          </w:p>
        </w:tc>
        <w:tc>
          <w:tcPr>
            <w:tcW w:w="0" w:type="dxa"/>
            <w:vAlign w:val="bottom"/>
          </w:tcPr>
          <w:p>
            <w:pPr>
              <w:spacing w:after="0"/>
              <w:rPr>
                <w:sz w:val="1"/>
                <w:szCs w:val="1"/>
                <w:color w:val="auto"/>
              </w:rPr>
            </w:pPr>
          </w:p>
        </w:tc>
      </w:tr>
      <w:tr>
        <w:trPr>
          <w:trHeight w:val="214"/>
        </w:trPr>
        <w:tc>
          <w:tcPr>
            <w:tcW w:w="104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bottom w:val="single" w:sz="8" w:color="0000FF"/>
            </w:tcBorders>
            <w:gridSpan w:val="7"/>
          </w:tcPr>
          <w:p>
            <w:pPr>
              <w:spacing w:after="0"/>
              <w:rPr>
                <w:rFonts w:ascii="Arial" w:cs="Arial" w:eastAsia="Arial" w:hAnsi="Arial"/>
                <w:sz w:val="14"/>
                <w:szCs w:val="14"/>
                <w:color w:val="0000FF"/>
              </w:rPr>
            </w:pPr>
            <w:hyperlink r:id="rId154">
              <w:r>
                <w:rPr>
                  <w:rFonts w:ascii="Arial" w:cs="Arial" w:eastAsia="Arial" w:hAnsi="Arial"/>
                  <w:sz w:val="14"/>
                  <w:szCs w:val="14"/>
                  <w:color w:val="0000FF"/>
                </w:rPr>
                <w:t>Amended &amp; Restated Certificate of Incorporation</w:t>
              </w:r>
            </w:hyperlink>
          </w:p>
        </w:tc>
        <w:tc>
          <w:tcPr>
            <w:tcW w:w="1460" w:type="dxa"/>
            <w:vAlign w:val="bottom"/>
            <w:gridSpan w:val="14"/>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21"/>
          </w:tcPr>
          <w:p>
            <w:pPr>
              <w:spacing w:after="0"/>
              <w:rPr>
                <w:rFonts w:ascii="Arial" w:cs="Arial" w:eastAsia="Arial" w:hAnsi="Arial"/>
                <w:sz w:val="14"/>
                <w:szCs w:val="14"/>
                <w:color w:val="0000FF"/>
              </w:rPr>
            </w:pPr>
            <w:hyperlink r:id="rId155">
              <w:r>
                <w:rPr>
                  <w:rFonts w:ascii="Arial" w:cs="Arial" w:eastAsia="Arial" w:hAnsi="Arial"/>
                  <w:sz w:val="14"/>
                  <w:szCs w:val="14"/>
                  <w:color w:val="0000FF"/>
                </w:rPr>
                <w:t>Certificate of Amendment to Twelfth Amended &amp; Restated Certificate</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04/02/2024</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3"/>
          </w:tcPr>
          <w:p>
            <w:pPr>
              <w:spacing w:after="0" w:line="139" w:lineRule="exact"/>
              <w:rPr>
                <w:rFonts w:ascii="Arial" w:cs="Arial" w:eastAsia="Arial" w:hAnsi="Arial"/>
                <w:sz w:val="14"/>
                <w:szCs w:val="14"/>
                <w:color w:val="0000FF"/>
                <w:w w:val="98"/>
              </w:rPr>
            </w:pPr>
            <w:hyperlink r:id="rId155">
              <w:r>
                <w:rPr>
                  <w:rFonts w:ascii="Arial" w:cs="Arial" w:eastAsia="Arial" w:hAnsi="Arial"/>
                  <w:sz w:val="14"/>
                  <w:szCs w:val="14"/>
                  <w:color w:val="0000FF"/>
                  <w:w w:val="98"/>
                </w:rPr>
                <w:t>of Incorporation</w:t>
              </w:r>
            </w:hyperlink>
          </w:p>
        </w:tc>
        <w:tc>
          <w:tcPr>
            <w:tcW w:w="3320" w:type="dxa"/>
            <w:vAlign w:val="bottom"/>
            <w:tcBorders>
              <w:top w:val="single" w:sz="8" w:color="0000FF"/>
            </w:tcBorders>
            <w:gridSpan w:val="14"/>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21"/>
          </w:tcPr>
          <w:p>
            <w:pPr>
              <w:spacing w:after="0"/>
              <w:rPr>
                <w:rFonts w:ascii="Arial" w:cs="Arial" w:eastAsia="Arial" w:hAnsi="Arial"/>
                <w:sz w:val="14"/>
                <w:szCs w:val="14"/>
                <w:color w:val="0000FF"/>
              </w:rPr>
            </w:pPr>
            <w:hyperlink r:id="rId156">
              <w:r>
                <w:rPr>
                  <w:rFonts w:ascii="Arial" w:cs="Arial" w:eastAsia="Arial" w:hAnsi="Arial"/>
                  <w:sz w:val="14"/>
                  <w:szCs w:val="14"/>
                  <w:color w:val="0000FF"/>
                </w:rPr>
                <w:t>Amended &amp; Restated Bylaws</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4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21"/>
          </w:tcPr>
          <w:p>
            <w:pPr>
              <w:spacing w:after="0"/>
              <w:rPr>
                <w:rFonts w:ascii="Arial" w:cs="Arial" w:eastAsia="Arial" w:hAnsi="Arial"/>
                <w:sz w:val="14"/>
                <w:szCs w:val="14"/>
                <w:color w:val="0000FF"/>
              </w:rPr>
            </w:pPr>
            <w:hyperlink r:id="rId157">
              <w:r>
                <w:rPr>
                  <w:rFonts w:ascii="Arial" w:cs="Arial" w:eastAsia="Arial" w:hAnsi="Arial"/>
                  <w:sz w:val="14"/>
                  <w:szCs w:val="14"/>
                  <w:color w:val="0000FF"/>
                </w:rPr>
                <w:t>At-the-Market Sales Agreement, dated as of April 15, 2026, by and</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04/15/2026</w:t>
            </w: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6"/>
          </w:tcPr>
          <w:p>
            <w:pPr>
              <w:spacing w:after="0" w:line="139" w:lineRule="exact"/>
              <w:rPr>
                <w:rFonts w:ascii="Arial" w:cs="Arial" w:eastAsia="Arial" w:hAnsi="Arial"/>
                <w:sz w:val="14"/>
                <w:szCs w:val="14"/>
                <w:color w:val="0000FF"/>
              </w:rPr>
            </w:pPr>
            <w:hyperlink r:id="rId157">
              <w:r>
                <w:rPr>
                  <w:rFonts w:ascii="Arial" w:cs="Arial" w:eastAsia="Arial" w:hAnsi="Arial"/>
                  <w:sz w:val="14"/>
                  <w:szCs w:val="14"/>
                  <w:color w:val="0000FF"/>
                </w:rPr>
                <w:t>between Rent the Runway, Inc. and BTIG, LLC</w:t>
              </w:r>
            </w:hyperlink>
          </w:p>
        </w:tc>
        <w:tc>
          <w:tcPr>
            <w:tcW w:w="122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40" w:type="dxa"/>
            <w:vAlign w:val="bottom"/>
          </w:tcPr>
          <w:p>
            <w:pPr>
              <w:ind w:left="2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21"/>
          </w:tcPr>
          <w:p>
            <w:pPr>
              <w:spacing w:after="0"/>
              <w:rPr>
                <w:rFonts w:ascii="Arial" w:cs="Arial" w:eastAsia="Arial" w:hAnsi="Arial"/>
                <w:sz w:val="14"/>
                <w:szCs w:val="14"/>
                <w:color w:val="0000FF"/>
              </w:rPr>
            </w:pPr>
            <w:hyperlink r:id="rId158">
              <w:r>
                <w:rPr>
                  <w:rFonts w:ascii="Arial" w:cs="Arial" w:eastAsia="Arial" w:hAnsi="Arial"/>
                  <w:sz w:val="14"/>
                  <w:szCs w:val="14"/>
                  <w:color w:val="0000FF"/>
                </w:rPr>
                <w:t>Separation, Advisor and Release Agreement, by and between the</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05/13/2026</w:t>
            </w: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12"/>
          </w:tcPr>
          <w:p>
            <w:pPr>
              <w:spacing w:after="0" w:line="139" w:lineRule="exact"/>
              <w:rPr>
                <w:rFonts w:ascii="Arial" w:cs="Arial" w:eastAsia="Arial" w:hAnsi="Arial"/>
                <w:sz w:val="14"/>
                <w:szCs w:val="14"/>
                <w:color w:val="0000FF"/>
              </w:rPr>
            </w:pPr>
            <w:hyperlink r:id="rId158">
              <w:r>
                <w:rPr>
                  <w:rFonts w:ascii="Arial" w:cs="Arial" w:eastAsia="Arial" w:hAnsi="Arial"/>
                  <w:sz w:val="14"/>
                  <w:szCs w:val="14"/>
                  <w:color w:val="0000FF"/>
                </w:rPr>
                <w:t>Company and Ms. Hyman, dated as of May 12, 2026</w:t>
              </w:r>
            </w:hyperlink>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4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21"/>
          </w:tcPr>
          <w:p>
            <w:pPr>
              <w:spacing w:after="0"/>
              <w:rPr>
                <w:rFonts w:ascii="Arial" w:cs="Arial" w:eastAsia="Arial" w:hAnsi="Arial"/>
                <w:sz w:val="14"/>
                <w:szCs w:val="14"/>
                <w:color w:val="0000FF"/>
              </w:rPr>
            </w:pPr>
            <w:hyperlink r:id="rId159">
              <w:r>
                <w:rPr>
                  <w:rFonts w:ascii="Arial" w:cs="Arial" w:eastAsia="Arial" w:hAnsi="Arial"/>
                  <w:sz w:val="14"/>
                  <w:szCs w:val="14"/>
                  <w:color w:val="0000FF"/>
                </w:rPr>
                <w:t>Side Letter, by and between the Company, Ms. Hyman and her</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05/13/2026</w:t>
            </w: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11"/>
          </w:tcPr>
          <w:p>
            <w:pPr>
              <w:spacing w:after="0" w:line="139" w:lineRule="exact"/>
              <w:rPr>
                <w:rFonts w:ascii="Arial" w:cs="Arial" w:eastAsia="Arial" w:hAnsi="Arial"/>
                <w:sz w:val="14"/>
                <w:szCs w:val="14"/>
                <w:color w:val="0000FF"/>
              </w:rPr>
            </w:pPr>
            <w:hyperlink r:id="rId159">
              <w:r>
                <w:rPr>
                  <w:rFonts w:ascii="Arial" w:cs="Arial" w:eastAsia="Arial" w:hAnsi="Arial"/>
                  <w:sz w:val="14"/>
                  <w:szCs w:val="14"/>
                  <w:color w:val="0000FF"/>
                </w:rPr>
                <w:t>affiliates, dated as of May 12, 2026</w:t>
              </w:r>
            </w:hyperlink>
          </w:p>
        </w:tc>
        <w:tc>
          <w:tcPr>
            <w:tcW w:w="3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4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21"/>
          </w:tcPr>
          <w:p>
            <w:pPr>
              <w:spacing w:after="0"/>
              <w:rPr>
                <w:rFonts w:ascii="Arial" w:cs="Arial" w:eastAsia="Arial" w:hAnsi="Arial"/>
                <w:sz w:val="14"/>
                <w:szCs w:val="14"/>
                <w:color w:val="0000FF"/>
              </w:rPr>
            </w:pPr>
            <w:hyperlink r:id="rId160">
              <w:r>
                <w:rPr>
                  <w:rFonts w:ascii="Arial" w:cs="Arial" w:eastAsia="Arial" w:hAnsi="Arial"/>
                  <w:sz w:val="14"/>
                  <w:szCs w:val="14"/>
                  <w:color w:val="0000FF"/>
                </w:rPr>
                <w:t>Statement of Work No. 2 under the Consulting Services Agreement,</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05/13/2026</w:t>
            </w: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14"/>
          </w:tcPr>
          <w:p>
            <w:pPr>
              <w:spacing w:after="0" w:line="139" w:lineRule="exact"/>
              <w:rPr>
                <w:rFonts w:ascii="Arial" w:cs="Arial" w:eastAsia="Arial" w:hAnsi="Arial"/>
                <w:sz w:val="14"/>
                <w:szCs w:val="14"/>
                <w:color w:val="0000FF"/>
              </w:rPr>
            </w:pPr>
            <w:hyperlink r:id="rId160">
              <w:r>
                <w:rPr>
                  <w:rFonts w:ascii="Arial" w:cs="Arial" w:eastAsia="Arial" w:hAnsi="Arial"/>
                  <w:sz w:val="14"/>
                  <w:szCs w:val="14"/>
                  <w:color w:val="0000FF"/>
                </w:rPr>
                <w:t>by and between the Company and Ms. Bariquit, dated as of May 12,</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bottom w:val="single" w:sz="8" w:color="0000FF"/>
            </w:tcBorders>
          </w:tcPr>
          <w:p>
            <w:pPr>
              <w:spacing w:after="0" w:line="129" w:lineRule="exact"/>
              <w:rPr>
                <w:rFonts w:ascii="Arial" w:cs="Arial" w:eastAsia="Arial" w:hAnsi="Arial"/>
                <w:sz w:val="14"/>
                <w:szCs w:val="14"/>
                <w:color w:val="0000FF"/>
                <w:w w:val="89"/>
              </w:rPr>
            </w:pPr>
            <w:hyperlink r:id="rId160">
              <w:r>
                <w:rPr>
                  <w:rFonts w:ascii="Arial" w:cs="Arial" w:eastAsia="Arial" w:hAnsi="Arial"/>
                  <w:sz w:val="14"/>
                  <w:szCs w:val="14"/>
                  <w:color w:val="0000FF"/>
                  <w:w w:val="89"/>
                </w:rPr>
                <w:t>2026</w:t>
              </w:r>
            </w:hyperlink>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4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21"/>
          </w:tcPr>
          <w:p>
            <w:pPr>
              <w:spacing w:after="0"/>
              <w:rPr>
                <w:rFonts w:ascii="Arial" w:cs="Arial" w:eastAsia="Arial" w:hAnsi="Arial"/>
                <w:sz w:val="14"/>
                <w:szCs w:val="14"/>
                <w:color w:val="0000FF"/>
              </w:rPr>
            </w:pPr>
            <w:hyperlink r:id="rId161">
              <w:r>
                <w:rPr>
                  <w:rFonts w:ascii="Arial" w:cs="Arial" w:eastAsia="Arial" w:hAnsi="Arial"/>
                  <w:sz w:val="14"/>
                  <w:szCs w:val="14"/>
                  <w:color w:val="0000FF"/>
                </w:rPr>
                <w:t>Statement of Work No. 3 under the Consulting Services Agreement,</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05/13/2026</w:t>
            </w: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0000FF"/>
            </w:tcBorders>
            <w:gridSpan w:val="14"/>
          </w:tcPr>
          <w:p>
            <w:pPr>
              <w:spacing w:after="0" w:line="139" w:lineRule="exact"/>
              <w:rPr>
                <w:rFonts w:ascii="Arial" w:cs="Arial" w:eastAsia="Arial" w:hAnsi="Arial"/>
                <w:sz w:val="14"/>
                <w:szCs w:val="14"/>
                <w:color w:val="0000FF"/>
              </w:rPr>
            </w:pPr>
            <w:hyperlink r:id="rId161">
              <w:r>
                <w:rPr>
                  <w:rFonts w:ascii="Arial" w:cs="Arial" w:eastAsia="Arial" w:hAnsi="Arial"/>
                  <w:sz w:val="14"/>
                  <w:szCs w:val="14"/>
                  <w:color w:val="0000FF"/>
                </w:rPr>
                <w:t>by and between the Company and Ms. Bariquit, dated as of May 12,</w:t>
              </w:r>
            </w:hyperlink>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9"/>
              </w:rPr>
            </w:pPr>
            <w:hyperlink r:id="rId161">
              <w:r>
                <w:rPr>
                  <w:rFonts w:ascii="Arial" w:cs="Arial" w:eastAsia="Arial" w:hAnsi="Arial"/>
                  <w:sz w:val="14"/>
                  <w:szCs w:val="14"/>
                  <w:color w:val="0000FF"/>
                  <w:w w:val="89"/>
                </w:rPr>
                <w:t>2026</w:t>
              </w:r>
            </w:hyperlink>
          </w:p>
        </w:tc>
        <w:tc>
          <w:tcPr>
            <w:tcW w:w="2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040" w:type="dxa"/>
            <w:vAlign w:val="bottom"/>
          </w:tcPr>
          <w:p>
            <w:pPr>
              <w:ind w:lef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0000FF"/>
              </w:rPr>
              <w:t>Form of Performance Stock Unit Award Agreement (Second Amended</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tcBorders>
            <w:gridSpan w:val="19"/>
          </w:tcPr>
          <w:p>
            <w:pPr>
              <w:spacing w:after="0" w:line="139" w:lineRule="exact"/>
              <w:rPr>
                <w:sz w:val="20"/>
                <w:szCs w:val="20"/>
                <w:color w:val="auto"/>
              </w:rPr>
            </w:pPr>
            <w:r>
              <w:rPr>
                <w:rFonts w:ascii="Arial" w:cs="Arial" w:eastAsia="Arial" w:hAnsi="Arial"/>
                <w:sz w:val="14"/>
                <w:szCs w:val="14"/>
                <w:color w:val="0000FF"/>
              </w:rPr>
              <w:t>and Restated 2021 Incentive Award Plan) (Special Executive)</w:t>
            </w:r>
          </w:p>
        </w:tc>
        <w:tc>
          <w:tcPr>
            <w:tcW w:w="1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rPr>
              <w:t>Certification of Chief Executive Officer pursuant to Rule 13a-</w:t>
            </w:r>
          </w:p>
        </w:tc>
        <w:tc>
          <w:tcPr>
            <w:tcW w:w="660" w:type="dxa"/>
            <w:vAlign w:val="bottom"/>
            <w:gridSpan w:val="11"/>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3"/>
          </w:tcPr>
          <w:p>
            <w:pPr>
              <w:spacing w:after="0" w:line="139" w:lineRule="exact"/>
              <w:rPr>
                <w:sz w:val="20"/>
                <w:szCs w:val="20"/>
                <w:color w:val="auto"/>
              </w:rPr>
            </w:pPr>
            <w:r>
              <w:rPr>
                <w:rFonts w:ascii="Arial" w:cs="Arial" w:eastAsia="Arial" w:hAnsi="Arial"/>
                <w:sz w:val="14"/>
                <w:szCs w:val="14"/>
                <w:color w:val="0000FF"/>
                <w:w w:val="98"/>
              </w:rPr>
              <w:t>14(a)/15d-14(a)</w:t>
            </w:r>
          </w:p>
        </w:tc>
        <w:tc>
          <w:tcPr>
            <w:tcW w:w="2800" w:type="dxa"/>
            <w:vAlign w:val="bottom"/>
            <w:tcBorders>
              <w:top w:val="single" w:sz="8" w:color="0000FF"/>
            </w:tcBorders>
            <w:gridSpan w:val="6"/>
          </w:tcPr>
          <w:p>
            <w:pPr>
              <w:spacing w:after="0"/>
              <w:rPr>
                <w:sz w:val="12"/>
                <w:szCs w:val="12"/>
                <w:color w:val="auto"/>
              </w:rPr>
            </w:pPr>
          </w:p>
        </w:tc>
        <w:tc>
          <w:tcPr>
            <w:tcW w:w="46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0000FF"/>
              </w:rPr>
              <w:t>Certification of Chief Financial Officer pursuant to Rule 13a-14(a)/15d-</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Borders>
              <w:top w:val="single" w:sz="8" w:color="0000FF"/>
            </w:tcBorders>
            <w:gridSpan w:val="18"/>
          </w:tcPr>
          <w:p>
            <w:pPr>
              <w:spacing w:after="0" w:line="139" w:lineRule="exact"/>
              <w:rPr>
                <w:sz w:val="20"/>
                <w:szCs w:val="20"/>
                <w:color w:val="auto"/>
              </w:rPr>
            </w:pPr>
            <w:r>
              <w:rPr>
                <w:rFonts w:ascii="Arial" w:cs="Arial" w:eastAsia="Arial" w:hAnsi="Arial"/>
                <w:sz w:val="14"/>
                <w:szCs w:val="14"/>
                <w:color w:val="0000FF"/>
              </w:rPr>
              <w:t>14(a)</w:t>
            </w:r>
          </w:p>
        </w:tc>
        <w:tc>
          <w:tcPr>
            <w:tcW w:w="12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9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0000FF"/>
              </w:rPr>
              <w:t>Certification of Chief Executive Officer pursuant to 18 U.S.C. Section</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1350</w:t>
            </w:r>
          </w:p>
        </w:tc>
        <w:tc>
          <w:tcPr>
            <w:tcW w:w="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0000FF"/>
              </w:rPr>
              <w:t>Certification of Chief Financial Officer pursuant to 18 U.S.C. Section</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gridSpan w:val="2"/>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1350</w:t>
            </w:r>
          </w:p>
        </w:tc>
        <w:tc>
          <w:tcPr>
            <w:tcW w:w="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20"/>
                <w:szCs w:val="20"/>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Inline XBRL Instance Document - the instance document does not</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21"/>
          </w:tcPr>
          <w:p>
            <w:pPr>
              <w:spacing w:after="0" w:line="149" w:lineRule="exact"/>
              <w:rPr>
                <w:sz w:val="20"/>
                <w:szCs w:val="20"/>
                <w:color w:val="auto"/>
              </w:rPr>
            </w:pPr>
            <w:r>
              <w:rPr>
                <w:rFonts w:ascii="Arial" w:cs="Arial" w:eastAsia="Arial" w:hAnsi="Arial"/>
                <w:sz w:val="14"/>
                <w:szCs w:val="14"/>
                <w:color w:val="auto"/>
              </w:rPr>
              <w:t>appear in the Interactive Data File because its XBRL tags are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embedded within the Inline XBRL document.</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2"/>
                <w:szCs w:val="22"/>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Inline XBRL Taxonomy Extension Schema Document</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1"/>
                <w:szCs w:val="21"/>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1"/>
                <w:szCs w:val="21"/>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1"/>
                <w:szCs w:val="21"/>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1"/>
                <w:szCs w:val="21"/>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0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21"/>
          </w:tcPr>
          <w:p>
            <w:pPr>
              <w:spacing w:after="0"/>
              <w:rPr>
                <w:sz w:val="20"/>
                <w:szCs w:val="20"/>
                <w:color w:val="auto"/>
              </w:rPr>
            </w:pPr>
            <w:r>
              <w:rPr>
                <w:rFonts w:ascii="Arial" w:cs="Arial" w:eastAsia="Arial" w:hAnsi="Arial"/>
                <w:sz w:val="14"/>
                <w:szCs w:val="14"/>
                <w:color w:val="auto"/>
              </w:rPr>
              <w:t>contained in Exhibit 101)</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3" w:lineRule="exact"/>
        <w:rPr>
          <w:sz w:val="20"/>
          <w:szCs w:val="20"/>
          <w:color w:val="auto"/>
        </w:rPr>
      </w:pPr>
    </w:p>
    <w:p>
      <w:pPr>
        <w:ind w:right="200" w:firstLine="5"/>
        <w:spacing w:after="0" w:line="253" w:lineRule="auto"/>
        <w:tabs>
          <w:tab w:leader="none" w:pos="118"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 because the omitted information (i) is not material and (ii) is treated as confidential by the Company</w:t>
      </w:r>
    </w:p>
    <w:p>
      <w:pPr>
        <w:ind w:right="280"/>
        <w:spacing w:after="0" w:line="269" w:lineRule="auto"/>
        <w:rPr>
          <w:rFonts w:ascii="Arial" w:cs="Arial" w:eastAsia="Arial" w:hAnsi="Arial"/>
          <w:sz w:val="14"/>
          <w:szCs w:val="14"/>
          <w:color w:val="auto"/>
        </w:rPr>
      </w:pPr>
      <w:r>
        <w:rPr>
          <w:rFonts w:ascii="Arial" w:cs="Arial" w:eastAsia="Arial" w:hAnsi="Arial"/>
          <w:sz w:val="14"/>
          <w:szCs w:val="14"/>
          <w:color w:val="auto"/>
        </w:rPr>
        <w:t>X Certain schedules (or similar attachments) to this exhibit have been omitted pursuant to Regulation S-K, Item 601(a)(5). The registrant agrees to furnish a copy of any omitted schedule (or similar attachment)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06" w:name="page107"/>
    <w:bookmarkEnd w:id="106"/>
    <w:p>
      <w:pPr>
        <w:jc w:val="center"/>
        <w:ind w:right="-179"/>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RENT THE RUNWAY, INC.</w:t>
      </w:r>
    </w:p>
    <w:p>
      <w:pPr>
        <w:spacing w:after="0" w:line="210" w:lineRule="exact"/>
        <w:rPr>
          <w:sz w:val="20"/>
          <w:szCs w:val="20"/>
          <w:color w:val="auto"/>
        </w:rPr>
      </w:pPr>
    </w:p>
    <w:p>
      <w:pPr>
        <w:ind w:left="20"/>
        <w:spacing w:after="0"/>
        <w:tabs>
          <w:tab w:leader="none" w:pos="5940" w:val="left"/>
          <w:tab w:leader="none" w:pos="6400" w:val="left"/>
        </w:tabs>
        <w:rPr>
          <w:sz w:val="20"/>
          <w:szCs w:val="20"/>
          <w:color w:val="auto"/>
        </w:rPr>
      </w:pPr>
      <w:r>
        <w:rPr>
          <w:rFonts w:ascii="Arial" w:cs="Arial" w:eastAsia="Arial" w:hAnsi="Arial"/>
          <w:sz w:val="14"/>
          <w:szCs w:val="14"/>
          <w:color w:val="auto"/>
        </w:rPr>
        <w:t>Date: June 3,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28575</wp:posOffset>
            </wp:positionV>
            <wp:extent cx="309943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Siddharth Thacker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100"/>
          </w:cols>
          <w:pgMar w:left="300" w:top="1016" w:right="499" w:bottom="1440"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Teri Bariquit, certify that:</w:t>
      </w:r>
    </w:p>
    <w:p>
      <w:pPr>
        <w:spacing w:after="0" w:line="189" w:lineRule="exact"/>
        <w:rPr>
          <w:sz w:val="20"/>
          <w:szCs w:val="20"/>
          <w:color w:val="auto"/>
        </w:rPr>
      </w:pPr>
    </w:p>
    <w:p>
      <w:pPr>
        <w:ind w:left="540" w:hanging="280"/>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7200" w:val="left"/>
        </w:tabs>
        <w:rPr>
          <w:sz w:val="20"/>
          <w:szCs w:val="20"/>
          <w:color w:val="auto"/>
        </w:rPr>
      </w:pPr>
      <w:r>
        <w:rPr>
          <w:rFonts w:ascii="Arial" w:cs="Arial" w:eastAsia="Arial" w:hAnsi="Arial"/>
          <w:sz w:val="14"/>
          <w:szCs w:val="14"/>
          <w:color w:val="auto"/>
        </w:rPr>
        <w:t>Date: June 3,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Teri Bariquit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34925</wp:posOffset>
            </wp:positionV>
            <wp:extent cx="372554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42"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Teri Bariquit</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Interim Chief Executive Officer</w:t>
      </w:r>
    </w:p>
    <w:p>
      <w:pPr>
        <w:sectPr>
          <w:pgSz w:w="11900" w:h="16838" w:orient="portrait"/>
          <w:cols w:equalWidth="0" w:num="1">
            <w:col w:w="11260"/>
          </w:cols>
          <w:pgMar w:left="320" w:top="125" w:right="3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Siddharth Thacker, certify that:</w:t>
      </w:r>
    </w:p>
    <w:p>
      <w:pPr>
        <w:spacing w:after="0" w:line="189" w:lineRule="exact"/>
        <w:rPr>
          <w:sz w:val="20"/>
          <w:szCs w:val="20"/>
          <w:color w:val="auto"/>
        </w:rPr>
      </w:pPr>
    </w:p>
    <w:p>
      <w:pPr>
        <w:ind w:left="540" w:hanging="280"/>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June 3,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60"/>
          </w:cols>
          <w:pgMar w:left="320" w:top="125"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6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I, Teri Bariquit, the Interim Chief Executive Officer of Rent the Runway, Inc., certify, pursuant to 18 U.S.C. Section 1350, as adopted pursuant to Section 906 of the Sarbanes-Oxley Act of 2002, that the Quarterly Report on Form 10-Q of Rent the Runway, Inc. for the quarterly period ended April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280" w:val="left"/>
        </w:tabs>
        <w:rPr>
          <w:sz w:val="20"/>
          <w:szCs w:val="20"/>
          <w:color w:val="auto"/>
        </w:rPr>
      </w:pPr>
      <w:r>
        <w:rPr>
          <w:rFonts w:ascii="Times New Roman" w:cs="Times New Roman" w:eastAsia="Times New Roman" w:hAnsi="Times New Roman"/>
          <w:sz w:val="14"/>
          <w:szCs w:val="14"/>
          <w:color w:val="auto"/>
        </w:rPr>
        <w:t>Date: June 3,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Teri Bariquit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Teri Bariquit</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Interim Chief Executive Officer</w:t>
      </w:r>
    </w:p>
    <w:p>
      <w:pPr>
        <w:sectPr>
          <w:pgSz w:w="11900" w:h="16838" w:orient="portrait"/>
          <w:cols w:equalWidth="0" w:num="1">
            <w:col w:w="11280"/>
          </w:cols>
          <w:pgMar w:left="300" w:top="125"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April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20" w:val="left"/>
        </w:tabs>
        <w:rPr>
          <w:sz w:val="20"/>
          <w:szCs w:val="20"/>
          <w:color w:val="auto"/>
        </w:rPr>
      </w:pPr>
      <w:r>
        <w:rPr>
          <w:rFonts w:ascii="Times New Roman" w:cs="Times New Roman" w:eastAsia="Times New Roman" w:hAnsi="Times New Roman"/>
          <w:sz w:val="14"/>
          <w:szCs w:val="14"/>
          <w:color w:val="auto"/>
        </w:rPr>
        <w:t>Date: June 3,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1."/>
      <w:numFmt w:val="decimal"/>
      <w:start w:val="11"/>
    </w:lvl>
  </w:abstractNum>
  <w:abstractNum w:abstractNumId="12">
    <w:nsid w:val="7C3DBD3D"/>
    <w:multiLevelType w:val="hybridMultilevel"/>
    <w:lvl w:ilvl="0">
      <w:lvlJc w:val="left"/>
      <w:lvlText w:val="%1."/>
      <w:numFmt w:val="decimal"/>
      <w:start w:val="12"/>
    </w:lvl>
  </w:abstractNum>
  <w:abstractNum w:abstractNumId="13">
    <w:nsid w:val="737B8DDC"/>
    <w:multiLevelType w:val="hybridMultilevel"/>
    <w:lvl w:ilvl="0">
      <w:lvlJc w:val="left"/>
      <w:lvlText w:val="%1."/>
      <w:numFmt w:val="decimal"/>
      <w:start w:val="13"/>
    </w:lvl>
  </w:abstractNum>
  <w:abstractNum w:abstractNumId="14">
    <w:nsid w:val="6CEAF087"/>
    <w:multiLevelType w:val="hybridMultilevel"/>
    <w:lvl w:ilvl="0">
      <w:lvlJc w:val="left"/>
      <w:lvlText w:val="%1."/>
      <w:numFmt w:val="decimal"/>
      <w:start w:val="15"/>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bullet"/>
      <w:start w:val="1"/>
    </w:lvl>
  </w:abstractNum>
  <w:abstractNum w:abstractNumId="17">
    <w:nsid w:val="3006C83E"/>
    <w:multiLevelType w:val="hybridMultilevel"/>
    <w:lvl w:ilvl="0">
      <w:lvlJc w:val="left"/>
      <w:lvlText w:val="•"/>
      <w:numFmt w:val="bullet"/>
      <w:start w:val="1"/>
    </w:lvl>
    <w:lvl w:ilvl="1">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2"/>
      <w:numFmt w:val="bullet"/>
      <w:start w:val="1"/>
    </w:lvl>
  </w:abstractNum>
  <w:abstractNum w:abstractNumId="20">
    <w:nsid w:val="5577F8E1"/>
    <w:multiLevelType w:val="hybridMultilevel"/>
    <w:lvl w:ilvl="0">
      <w:lvlJc w:val="left"/>
      <w:lvlText w:val="3"/>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54" Type="http://schemas.openxmlformats.org/officeDocument/2006/relationships/hyperlink" Target="https://www.sec.gov/Archives/edgar/data/0001468327/000119312521313321/d211519dex31.htm" TargetMode="External"/><Relationship Id="rId155" Type="http://schemas.openxmlformats.org/officeDocument/2006/relationships/hyperlink" Target="https://www.sec.gov/Archives/edgar/data/1468327/000146832724000100/exhibit31certificateofam.htm" TargetMode="External"/><Relationship Id="rId156" Type="http://schemas.openxmlformats.org/officeDocument/2006/relationships/hyperlink" Target="https://www.sec.gov/Archives/edgar/data/0001468327/000119312521313321/d211519dex32.htm" TargetMode="External"/><Relationship Id="rId157" Type="http://schemas.openxmlformats.org/officeDocument/2006/relationships/hyperlink" Target="https://www.sec.gov/Archives/edgar/data/1468327/000095010326005727/dp245184_ex0101.htm" TargetMode="External"/><Relationship Id="rId158" Type="http://schemas.openxmlformats.org/officeDocument/2006/relationships/hyperlink" Target="https://www.sec.gov/Archives/edgar/data/1468327/000095010326007131/dp246596_ex1001.htm" TargetMode="External"/><Relationship Id="rId159" Type="http://schemas.openxmlformats.org/officeDocument/2006/relationships/hyperlink" Target="https://www.sec.gov/Archives/edgar/data/1468327/000095010326007131/dp246596_ex1002.htm" TargetMode="External"/><Relationship Id="rId160" Type="http://schemas.openxmlformats.org/officeDocument/2006/relationships/hyperlink" Target="https://www.sec.gov/Archives/edgar/data/1468327/000095010326007131/dp246596_ex1003.htm" TargetMode="External"/><Relationship Id="rId161" Type="http://schemas.openxmlformats.org/officeDocument/2006/relationships/hyperlink" Target="https://www.sec.gov/Archives/edgar/data/1468327/000095010326007131/dp246596_ex1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2026-06-03T07:22:58Z</dcterms:created>
  <dcterms:modified xsi:type="dcterms:W3CDTF">2026-06-03T07:22:58Z</dcterms:modified>
</cp:coreProperties>
</file>