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2"/>
              </w:rPr>
            </w:pPr>
            <w:r>
              <w:rPr>
                <w:rFonts w:ascii="Arial;sans-serif" w:hAnsi="Arial;sans-serif"/>
                <w:b/>
                <w:color w:val="000000"/>
                <w:sz w:val="22"/>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fiscal year ended January 31, 2025</w:t>
      </w:r>
    </w:p>
    <w:p>
      <w:pPr>
        <w:pStyle w:val="TextBody"/>
        <w:bidi w:val="0"/>
        <w:spacing w:lineRule="auto" w:line="288" w:before="200" w:after="283"/>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 to 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001-40958</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shd w:fill="FFFFFF" w:val="clear"/>
        </w:rPr>
      </w:pPr>
      <w:r>
        <w:rPr>
          <w:rFonts w:ascii="Arial;sans-serif" w:hAnsi="Arial;sans-serif"/>
          <w:b/>
          <w:color w:val="000000"/>
          <w:sz w:val="36"/>
          <w:shd w:fill="FFFFFF" w:val="clear"/>
        </w:rPr>
        <w:t>RENT THE RUNWAY, INC.</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before="0" w:after="0"/>
        <w:jc w:val="center"/>
        <w:rPr/>
      </w:pPr>
      <w:r>
        <w:rPr/>
      </w:r>
    </w:p>
    <w:tbl>
      <w:tblPr>
        <w:tblW w:w="5620" w:type="dxa"/>
        <w:jc w:val="left"/>
        <w:tblInd w:w="0" w:type="dxa"/>
        <w:tblLayout w:type="fixed"/>
        <w:tblCellMar>
          <w:top w:w="28" w:type="dxa"/>
          <w:left w:w="28" w:type="dxa"/>
          <w:bottom w:w="28" w:type="dxa"/>
          <w:right w:w="28" w:type="dxa"/>
        </w:tblCellMar>
      </w:tblPr>
      <w:tblGrid>
        <w:gridCol w:w="1307"/>
        <w:gridCol w:w="1148"/>
        <w:gridCol w:w="1159"/>
        <w:gridCol w:w="109"/>
        <w:gridCol w:w="109"/>
        <w:gridCol w:w="109"/>
        <w:gridCol w:w="490"/>
        <w:gridCol w:w="490"/>
        <w:gridCol w:w="699"/>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80-0376379</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10 Jay Street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Brooklyn,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11201</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200" w:after="283"/>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(212) 524-6860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86"/>
        <w:gridCol w:w="1381"/>
        <w:gridCol w:w="1396"/>
        <w:gridCol w:w="590"/>
        <w:gridCol w:w="590"/>
        <w:gridCol w:w="592"/>
        <w:gridCol w:w="1189"/>
        <w:gridCol w:w="1189"/>
        <w:gridCol w:w="1692"/>
      </w:tblGrid>
      <w:tr>
        <w:trPr/>
        <w:tc>
          <w:tcPr>
            <w:tcW w:w="158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0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3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$0.001 per share</w:t>
            </w:r>
          </w:p>
        </w:tc>
        <w:tc>
          <w:tcPr>
            <w:tcW w:w="17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RENT</w:t>
            </w:r>
          </w:p>
        </w:tc>
        <w:tc>
          <w:tcPr>
            <w:tcW w:w="40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Global Market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200" w:after="283"/>
        <w:jc w:val="left"/>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00" w:after="283"/>
        <w:jc w:val="left"/>
        <w:rPr/>
      </w:pPr>
      <w:r>
        <w:rPr>
          <w:rFonts w:ascii="Arial;sans-serif" w:hAnsi="Arial;sans-serif"/>
          <w:b w:val="false"/>
          <w:color w:val="000000"/>
          <w:sz w:val="20"/>
        </w:rPr>
        <w:t>Indicate by check mark whether the registrant is a shell company (as defined in Rule 12b-2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200" w:after="283"/>
        <w:jc w:val="left"/>
        <w:rPr/>
      </w:pPr>
      <w:r>
        <w:rPr>
          <w:rFonts w:ascii="Arial;sans-serif" w:hAnsi="Arial;sans-serif"/>
          <w:b w:val="false"/>
          <w:color w:val="000000"/>
          <w:sz w:val="20"/>
          <w:shd w:fill="FFFFFF" w:val="clear"/>
        </w:rPr>
        <w:t>The aggregate market value of the voting and non-voting common equity held by non-affiliates of the registrant as of July 31, 2024 (the last business day of the registrant’s most recently completed second fiscal quarter), was approximately $</w:t>
      </w:r>
      <w:r>
        <w:rPr>
          <w:rFonts w:ascii="Arial;sans-serif" w:hAnsi="Arial;sans-serif"/>
          <w:b w:val="false"/>
          <w:color w:val="000000"/>
          <w:sz w:val="20"/>
        </w:rPr>
        <w:t>40.9</w:t>
      </w:r>
      <w:r>
        <w:rPr>
          <w:color w:val="000000"/>
          <w:shd w:fill="FFFFFF" w:val="clear"/>
        </w:rPr>
        <w:t xml:space="preserve"> </w:t>
      </w:r>
      <w:r>
        <w:rPr>
          <w:rFonts w:ascii="Arial;sans-serif" w:hAnsi="Arial;sans-serif"/>
          <w:b w:val="false"/>
          <w:color w:val="000000"/>
          <w:sz w:val="20"/>
          <w:shd w:fill="FFFFFF" w:val="clear"/>
        </w:rPr>
        <w:t>million.</w:t>
      </w:r>
    </w:p>
    <w:p>
      <w:pPr>
        <w:pStyle w:val="TextBody"/>
        <w:bidi w:val="0"/>
        <w:spacing w:lineRule="auto" w:line="288" w:before="200" w:after="283"/>
        <w:jc w:val="left"/>
        <w:rPr/>
      </w:pPr>
      <w:r>
        <w:rPr>
          <w:rFonts w:ascii="Arial;sans-serif" w:hAnsi="Arial;sans-serif"/>
          <w:b w:val="false"/>
          <w:color w:val="000000"/>
          <w:sz w:val="20"/>
        </w:rPr>
        <w:t>The registrant had outstanding 3,825,951 shares of Class A common stock and 155,544</w:t>
      </w:r>
      <w:r>
        <w:rPr>
          <w:color w:val="000000"/>
          <w:shd w:fill="FFFFFF" w:val="clear"/>
        </w:rPr>
        <w:t xml:space="preserve"> </w:t>
      </w:r>
      <w:r>
        <w:rPr>
          <w:rFonts w:ascii="Arial;sans-serif" w:hAnsi="Arial;sans-serif"/>
          <w:b w:val="false"/>
          <w:color w:val="000000"/>
          <w:sz w:val="20"/>
          <w:shd w:fill="FFFFFF" w:val="clear"/>
        </w:rPr>
        <w:t xml:space="preserve">shares of Class B common stock as of </w:t>
      </w:r>
      <w:r>
        <w:rPr>
          <w:rFonts w:ascii="Arial;sans-serif" w:hAnsi="Arial;sans-serif"/>
          <w:b w:val="false"/>
          <w:color w:val="000000"/>
          <w:sz w:val="20"/>
        </w:rPr>
        <w:t>April 11, 2025</w:t>
      </w:r>
      <w:r>
        <w:rPr>
          <w:rFonts w:ascii="Arial;sans-serif" w:hAnsi="Arial;sans-serif"/>
          <w:b w:val="false"/>
          <w:color w:val="000000"/>
          <w:sz w:val="20"/>
          <w:shd w:fill="FFFFFF" w:val="clear"/>
        </w:rPr>
        <w:t>. The foregoing reflects the reverse stock split of the registrant’s Class A common stock and Class B common stock that became effective on April 2, 2024 and began trading on a post-split adjusted basis on April 3, 2024.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DOCUMENTS INCORPORATED BY REFERENCE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Portions of the registrant’s Definitive Proxy Statement to be filed with the Securities and Exchange Commission no later than 120 days after the end of the registrant’s fiscal year ended January 31, 2025, are incorporated by reference in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6"/>
        <w:gridCol w:w="277"/>
        <w:gridCol w:w="279"/>
        <w:gridCol w:w="2934"/>
        <w:gridCol w:w="2886"/>
        <w:gridCol w:w="2894"/>
        <w:gridCol w:w="180"/>
        <w:gridCol w:w="180"/>
        <w:gridCol w:w="259"/>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
              <w:r>
                <w:rPr>
                  <w:rStyle w:val="InternetLink"/>
                  <w:rFonts w:ascii="Arial;sans-serif" w:hAnsi="Arial;sans-serif"/>
                  <w:b w:val="false"/>
                  <w:color w:val="0000FF"/>
                  <w:sz w:val="20"/>
                  <w:u w:val="single"/>
                </w:rPr>
                <w:t>Item 1.</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
              <w:r>
                <w:rPr>
                  <w:rStyle w:val="InternetLink"/>
                  <w:rFonts w:ascii="Arial;sans-serif" w:hAnsi="Arial;sans-serif"/>
                  <w:b w:val="false"/>
                  <w:color w:val="0000FF"/>
                  <w:sz w:val="20"/>
                  <w:u w:val="single"/>
                </w:rPr>
                <w:t>Business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9">
              <w:r>
                <w:rPr>
                  <w:rStyle w:val="InternetLink"/>
                  <w:rFonts w:ascii="Arial;sans-serif" w:hAnsi="Arial;sans-serif"/>
                  <w:b w:val="false"/>
                  <w:strike w:val="false"/>
                  <w:dstrike w:val="false"/>
                  <w:color w:val="000000"/>
                  <w:sz w:val="20"/>
                  <w:u w:val="none"/>
                  <w:effect w:val="none"/>
                </w:rPr>
                <w:t>4</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2">
              <w:r>
                <w:rPr>
                  <w:rStyle w:val="InternetLink"/>
                  <w:rFonts w:ascii="Arial;sans-serif" w:hAnsi="Arial;sans-serif"/>
                  <w:b w:val="false"/>
                  <w:color w:val="0000FF"/>
                  <w:sz w:val="20"/>
                  <w:u w:val="single"/>
                </w:rPr>
                <w:t>Item 1A.</w:t>
              </w:r>
            </w:hyperlink>
          </w:p>
        </w:tc>
        <w:tc>
          <w:tcPr>
            <w:tcW w:w="8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2">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2">
              <w:r>
                <w:rPr>
                  <w:rStyle w:val="InternetLink"/>
                  <w:rFonts w:ascii="Arial;sans-serif" w:hAnsi="Arial;sans-serif"/>
                  <w:b w:val="false"/>
                  <w:strike w:val="false"/>
                  <w:dstrike w:val="false"/>
                  <w:color w:val="000000"/>
                  <w:sz w:val="20"/>
                  <w:u w:val="none"/>
                  <w:effect w:val="none"/>
                </w:rPr>
                <w:t>15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5">
              <w:r>
                <w:rPr>
                  <w:rStyle w:val="InternetLink"/>
                  <w:rFonts w:ascii="Arial;sans-serif" w:hAnsi="Arial;sans-serif"/>
                  <w:b w:val="false"/>
                  <w:color w:val="0000FF"/>
                  <w:sz w:val="20"/>
                  <w:u w:val="single"/>
                </w:rPr>
                <w:t xml:space="preserve">Item 1B.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5">
              <w:r>
                <w:rPr>
                  <w:rStyle w:val="InternetLink"/>
                  <w:rFonts w:ascii="Arial;sans-serif" w:hAnsi="Arial;sans-serif"/>
                  <w:b w:val="false"/>
                  <w:color w:val="0000FF"/>
                  <w:sz w:val="20"/>
                  <w:u w:val="single"/>
                </w:rPr>
                <w:t>Unresolved Staff Comments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5">
              <w:r>
                <w:rPr>
                  <w:rStyle w:val="InternetLink"/>
                  <w:rFonts w:ascii="Arial;sans-serif" w:hAnsi="Arial;sans-serif"/>
                  <w:b w:val="false"/>
                  <w:strike w:val="false"/>
                  <w:dstrike w:val="false"/>
                  <w:color w:val="000000"/>
                  <w:sz w:val="20"/>
                  <w:u w:val="none"/>
                  <w:effect w:val="none"/>
                </w:rPr>
                <w:t>59</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8">
              <w:r>
                <w:rPr>
                  <w:rStyle w:val="InternetLink"/>
                  <w:rFonts w:ascii="Arial;sans-serif" w:hAnsi="Arial;sans-serif"/>
                  <w:b w:val="false"/>
                  <w:color w:val="0000FF"/>
                  <w:sz w:val="20"/>
                  <w:u w:val="single"/>
                </w:rPr>
                <w:t>Item 1C.</w:t>
              </w:r>
            </w:hyperlink>
          </w:p>
        </w:tc>
        <w:tc>
          <w:tcPr>
            <w:tcW w:w="8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8">
              <w:r>
                <w:rPr>
                  <w:rStyle w:val="InternetLink"/>
                  <w:rFonts w:ascii="Arial;sans-serif" w:hAnsi="Arial;sans-serif"/>
                  <w:b w:val="false"/>
                  <w:color w:val="0000FF"/>
                  <w:sz w:val="20"/>
                  <w:u w:val="single"/>
                </w:rPr>
                <w:t>Cybersecurity</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8">
              <w:r>
                <w:rPr>
                  <w:rStyle w:val="InternetLink"/>
                  <w:rFonts w:ascii="Arial;sans-serif" w:hAnsi="Arial;sans-serif"/>
                  <w:b w:val="false"/>
                  <w:strike w:val="false"/>
                  <w:dstrike w:val="false"/>
                  <w:color w:val="000000"/>
                  <w:sz w:val="20"/>
                  <w:u w:val="none"/>
                  <w:effect w:val="none"/>
                </w:rPr>
                <w:t>59</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31">
              <w:r>
                <w:rPr>
                  <w:rStyle w:val="InternetLink"/>
                  <w:rFonts w:ascii="Arial;sans-serif" w:hAnsi="Arial;sans-serif"/>
                  <w:b w:val="false"/>
                  <w:color w:val="0000FF"/>
                  <w:sz w:val="20"/>
                  <w:u w:val="single"/>
                </w:rPr>
                <w:t xml:space="preserve">Item 2.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31">
              <w:r>
                <w:rPr>
                  <w:rStyle w:val="InternetLink"/>
                  <w:rFonts w:ascii="Arial;sans-serif" w:hAnsi="Arial;sans-serif"/>
                  <w:b w:val="false"/>
                  <w:color w:val="0000FF"/>
                  <w:sz w:val="20"/>
                  <w:u w:val="single"/>
                </w:rPr>
                <w:t>Properties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31">
              <w:r>
                <w:rPr>
                  <w:rStyle w:val="InternetLink"/>
                  <w:rFonts w:ascii="Arial;sans-serif" w:hAnsi="Arial;sans-serif"/>
                  <w:b w:val="false"/>
                  <w:strike w:val="false"/>
                  <w:dstrike w:val="false"/>
                  <w:color w:val="000000"/>
                  <w:sz w:val="20"/>
                  <w:u w:val="none"/>
                  <w:effect w:val="none"/>
                </w:rPr>
                <w:t>60</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34">
              <w:r>
                <w:rPr>
                  <w:rStyle w:val="InternetLink"/>
                  <w:rFonts w:ascii="Arial;sans-serif" w:hAnsi="Arial;sans-serif"/>
                  <w:b w:val="false"/>
                  <w:color w:val="0000FF"/>
                  <w:sz w:val="20"/>
                  <w:u w:val="single"/>
                </w:rPr>
                <w:t>Item 3.</w:t>
              </w:r>
            </w:hyperlink>
          </w:p>
        </w:tc>
        <w:tc>
          <w:tcPr>
            <w:tcW w:w="8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34">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34">
              <w:r>
                <w:rPr>
                  <w:rStyle w:val="InternetLink"/>
                  <w:rFonts w:ascii="Arial;sans-serif" w:hAnsi="Arial;sans-serif"/>
                  <w:b w:val="false"/>
                  <w:strike w:val="false"/>
                  <w:dstrike w:val="false"/>
                  <w:color w:val="000000"/>
                  <w:sz w:val="20"/>
                  <w:u w:val="none"/>
                  <w:effect w:val="none"/>
                </w:rPr>
                <w:t>61</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37">
              <w:r>
                <w:rPr>
                  <w:rStyle w:val="InternetLink"/>
                  <w:rFonts w:ascii="Arial;sans-serif" w:hAnsi="Arial;sans-serif"/>
                  <w:b w:val="false"/>
                  <w:color w:val="0000FF"/>
                  <w:sz w:val="20"/>
                  <w:u w:val="single"/>
                </w:rPr>
                <w:t>Item 4.</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37">
              <w:r>
                <w:rPr>
                  <w:rStyle w:val="InternetLink"/>
                  <w:rFonts w:ascii="Arial;sans-serif" w:hAnsi="Arial;sans-serif"/>
                  <w:b w:val="false"/>
                  <w:color w:val="0000FF"/>
                  <w:sz w:val="20"/>
                  <w:u w:val="single"/>
                </w:rPr>
                <w:t>Mine Safety Disclosures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37">
              <w:r>
                <w:rPr>
                  <w:rStyle w:val="InternetLink"/>
                  <w:rFonts w:ascii="Arial;sans-serif" w:hAnsi="Arial;sans-serif"/>
                  <w:b w:val="false"/>
                  <w:strike w:val="false"/>
                  <w:dstrike w:val="false"/>
                  <w:color w:val="000000"/>
                  <w:sz w:val="20"/>
                  <w:u w:val="none"/>
                  <w:effect w:val="none"/>
                </w:rPr>
                <w:t>61</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43">
              <w:r>
                <w:rPr>
                  <w:rStyle w:val="InternetLink"/>
                  <w:rFonts w:ascii="Arial;sans-serif" w:hAnsi="Arial;sans-serif"/>
                  <w:b w:val="false"/>
                  <w:color w:val="0000FF"/>
                  <w:sz w:val="20"/>
                  <w:u w:val="single"/>
                </w:rPr>
                <w:t>Item 5.</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43">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43">
              <w:r>
                <w:rPr>
                  <w:rStyle w:val="InternetLink"/>
                  <w:rFonts w:ascii="Arial;sans-serif" w:hAnsi="Arial;sans-serif"/>
                  <w:b w:val="false"/>
                  <w:strike w:val="false"/>
                  <w:dstrike w:val="false"/>
                  <w:color w:val="000000"/>
                  <w:sz w:val="20"/>
                  <w:u w:val="none"/>
                  <w:effect w:val="none"/>
                </w:rPr>
                <w:t>62</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46">
              <w:r>
                <w:rPr>
                  <w:rStyle w:val="InternetLink"/>
                  <w:rFonts w:ascii="Arial;sans-serif" w:hAnsi="Arial;sans-serif"/>
                  <w:b w:val="false"/>
                  <w:color w:val="0000FF"/>
                  <w:sz w:val="20"/>
                  <w:u w:val="single"/>
                </w:rPr>
                <w:t xml:space="preserve">Item 6.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[Reserved]</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46">
              <w:r>
                <w:rPr>
                  <w:rStyle w:val="InternetLink"/>
                  <w:rFonts w:ascii="Arial;sans-serif" w:hAnsi="Arial;sans-serif"/>
                  <w:b w:val="false"/>
                  <w:strike w:val="false"/>
                  <w:dstrike w:val="false"/>
                  <w:color w:val="000000"/>
                  <w:sz w:val="20"/>
                  <w:u w:val="none"/>
                  <w:effect w:val="none"/>
                </w:rPr>
                <w:t>63</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49">
              <w:r>
                <w:rPr>
                  <w:rStyle w:val="InternetLink"/>
                  <w:rFonts w:ascii="Arial;sans-serif" w:hAnsi="Arial;sans-serif"/>
                  <w:b w:val="false"/>
                  <w:color w:val="0000FF"/>
                  <w:sz w:val="20"/>
                  <w:u w:val="single"/>
                </w:rPr>
                <w:t>Item 7.</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49">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49">
              <w:r>
                <w:rPr>
                  <w:rStyle w:val="InternetLink"/>
                  <w:rFonts w:ascii="Arial;sans-serif" w:hAnsi="Arial;sans-serif"/>
                  <w:b w:val="false"/>
                  <w:strike w:val="false"/>
                  <w:dstrike w:val="false"/>
                  <w:color w:val="000000"/>
                  <w:sz w:val="20"/>
                  <w:u w:val="none"/>
                  <w:effect w:val="none"/>
                </w:rPr>
                <w:t>64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91">
              <w:r>
                <w:rPr>
                  <w:rStyle w:val="InternetLink"/>
                  <w:rFonts w:ascii="Arial;sans-serif" w:hAnsi="Arial;sans-serif"/>
                  <w:b w:val="false"/>
                  <w:color w:val="0000FF"/>
                  <w:sz w:val="20"/>
                  <w:u w:val="single"/>
                </w:rPr>
                <w:t>Item 7A.</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91">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91">
              <w:r>
                <w:rPr>
                  <w:rStyle w:val="InternetLink"/>
                  <w:rFonts w:ascii="Arial;sans-serif" w:hAnsi="Arial;sans-serif"/>
                  <w:b w:val="false"/>
                  <w:strike w:val="false"/>
                  <w:dstrike w:val="false"/>
                  <w:color w:val="000000"/>
                  <w:sz w:val="20"/>
                  <w:u w:val="none"/>
                  <w:effect w:val="none"/>
                </w:rPr>
                <w:t>84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94">
              <w:r>
                <w:rPr>
                  <w:rStyle w:val="InternetLink"/>
                  <w:rFonts w:ascii="Arial;sans-serif" w:hAnsi="Arial;sans-serif"/>
                  <w:b w:val="false"/>
                  <w:color w:val="0000FF"/>
                  <w:sz w:val="20"/>
                  <w:u w:val="single"/>
                </w:rPr>
                <w:t>Item 8.</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94">
              <w:r>
                <w:rPr>
                  <w:rStyle w:val="InternetLink"/>
                  <w:rFonts w:ascii="Arial;sans-serif" w:hAnsi="Arial;sans-serif"/>
                  <w:b w:val="false"/>
                  <w:color w:val="0000FF"/>
                  <w:sz w:val="20"/>
                  <w:u w:val="single"/>
                </w:rPr>
                <w:t>Financial Statements and Supplementary Data</w:t>
              </w:r>
            </w:hyperlink>
            <w:r>
              <w:rPr>
                <w:color w:val="000000"/>
              </w:rPr>
              <w:t xml:space="preserve"> </w:t>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94">
              <w:r>
                <w:rPr>
                  <w:rStyle w:val="InternetLink"/>
                  <w:rFonts w:ascii="Arial;sans-serif" w:hAnsi="Arial;sans-serif"/>
                  <w:b w:val="false"/>
                  <w:strike w:val="false"/>
                  <w:dstrike w:val="false"/>
                  <w:color w:val="000000"/>
                  <w:sz w:val="20"/>
                  <w:u w:val="none"/>
                  <w:effect w:val="none"/>
                </w:rPr>
                <w:t>86</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78">
              <w:r>
                <w:rPr>
                  <w:rStyle w:val="InternetLink"/>
                  <w:rFonts w:ascii="Arial;sans-serif" w:hAnsi="Arial;sans-serif"/>
                  <w:b w:val="false"/>
                  <w:color w:val="0000FF"/>
                  <w:sz w:val="20"/>
                  <w:u w:val="single"/>
                </w:rPr>
                <w:t>Item 9.</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78">
              <w:r>
                <w:rPr>
                  <w:rStyle w:val="InternetLink"/>
                  <w:rFonts w:ascii="Arial;sans-serif" w:hAnsi="Arial;sans-serif"/>
                  <w:b w:val="false"/>
                  <w:color w:val="0000FF"/>
                  <w:sz w:val="20"/>
                  <w:u w:val="single"/>
                </w:rPr>
                <w:t>Changes in and Disagreements With Accountants on Accounting and Financial Disclosure</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78">
              <w:r>
                <w:rPr>
                  <w:rStyle w:val="InternetLink"/>
                  <w:rFonts w:ascii="Arial;sans-serif" w:hAnsi="Arial;sans-serif"/>
                  <w:b w:val="false"/>
                  <w:strike w:val="false"/>
                  <w:dstrike w:val="false"/>
                  <w:color w:val="000000"/>
                  <w:sz w:val="20"/>
                  <w:u w:val="none"/>
                  <w:effect w:val="none"/>
                </w:rPr>
                <w:t>122</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81">
              <w:r>
                <w:rPr>
                  <w:rStyle w:val="InternetLink"/>
                  <w:rFonts w:ascii="Arial;sans-serif" w:hAnsi="Arial;sans-serif"/>
                  <w:b w:val="false"/>
                  <w:color w:val="0000FF"/>
                  <w:sz w:val="20"/>
                  <w:u w:val="single"/>
                </w:rPr>
                <w:t>Item 9A.</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81">
              <w:r>
                <w:rPr>
                  <w:rStyle w:val="InternetLink"/>
                  <w:rFonts w:ascii="Arial;sans-serif" w:hAnsi="Arial;sans-serif"/>
                  <w:b w:val="false"/>
                  <w:color w:val="0000FF"/>
                  <w:sz w:val="20"/>
                  <w:u w:val="single"/>
                </w:rPr>
                <w:t>Controls and Procedures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81">
              <w:r>
                <w:rPr>
                  <w:rStyle w:val="InternetLink"/>
                  <w:rFonts w:ascii="Arial;sans-serif" w:hAnsi="Arial;sans-serif"/>
                  <w:b w:val="false"/>
                  <w:strike w:val="false"/>
                  <w:dstrike w:val="false"/>
                  <w:color w:val="000000"/>
                  <w:sz w:val="20"/>
                  <w:u w:val="none"/>
                  <w:effect w:val="none"/>
                </w:rPr>
                <w:t>122</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84">
              <w:r>
                <w:rPr>
                  <w:rStyle w:val="InternetLink"/>
                  <w:rFonts w:ascii="Arial;sans-serif" w:hAnsi="Arial;sans-serif"/>
                  <w:b w:val="false"/>
                  <w:color w:val="0000FF"/>
                  <w:sz w:val="20"/>
                  <w:u w:val="single"/>
                </w:rPr>
                <w:t>Item 9B.</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84">
              <w:r>
                <w:rPr>
                  <w:rStyle w:val="InternetLink"/>
                  <w:rFonts w:ascii="Arial;sans-serif" w:hAnsi="Arial;sans-serif"/>
                  <w:b w:val="false"/>
                  <w:color w:val="0000FF"/>
                  <w:sz w:val="20"/>
                  <w:u w:val="single"/>
                </w:rPr>
                <w:t>Other Information</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84">
              <w:r>
                <w:rPr>
                  <w:rStyle w:val="InternetLink"/>
                  <w:rFonts w:ascii="Arial;sans-serif" w:hAnsi="Arial;sans-serif"/>
                  <w:b w:val="false"/>
                  <w:strike w:val="false"/>
                  <w:dstrike w:val="false"/>
                  <w:color w:val="000000"/>
                  <w:sz w:val="20"/>
                  <w:u w:val="none"/>
                  <w:effect w:val="none"/>
                </w:rPr>
                <w:t>123</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87">
              <w:r>
                <w:rPr>
                  <w:rStyle w:val="InternetLink"/>
                  <w:rFonts w:ascii="Arial;sans-serif" w:hAnsi="Arial;sans-serif"/>
                  <w:b w:val="false"/>
                  <w:color w:val="0000FF"/>
                  <w:sz w:val="20"/>
                  <w:u w:val="single"/>
                </w:rPr>
                <w:t>Item 9C.</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87">
              <w:r>
                <w:rPr>
                  <w:rStyle w:val="InternetLink"/>
                  <w:rFonts w:ascii="Arial;sans-serif" w:hAnsi="Arial;sans-serif"/>
                  <w:b w:val="false"/>
                  <w:color w:val="0000FF"/>
                  <w:sz w:val="20"/>
                  <w:u w:val="single"/>
                </w:rPr>
                <w:t>Disclosure Regarding Foreign Jurisdictions that Prevent Inspections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87">
              <w:r>
                <w:rPr>
                  <w:rStyle w:val="InternetLink"/>
                  <w:rFonts w:ascii="Arial;sans-serif" w:hAnsi="Arial;sans-serif"/>
                  <w:b w:val="false"/>
                  <w:strike w:val="false"/>
                  <w:dstrike w:val="false"/>
                  <w:color w:val="000000"/>
                  <w:sz w:val="20"/>
                  <w:u w:val="none"/>
                  <w:effect w:val="none"/>
                </w:rPr>
                <w:t>124</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III</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3">
              <w:r>
                <w:rPr>
                  <w:rStyle w:val="InternetLink"/>
                  <w:rFonts w:ascii="Arial;sans-serif" w:hAnsi="Arial;sans-serif"/>
                  <w:b w:val="false"/>
                  <w:color w:val="0000FF"/>
                  <w:sz w:val="20"/>
                  <w:u w:val="single"/>
                </w:rPr>
                <w:t>Item 10.</w:t>
              </w:r>
            </w:hyperlink>
            <w:r>
              <w:rPr>
                <w:color w:val="000000"/>
              </w:rPr>
              <w:t xml:space="preserve"> </w:t>
            </w:r>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3">
              <w:r>
                <w:rPr>
                  <w:rStyle w:val="InternetLink"/>
                  <w:rFonts w:ascii="Arial;sans-serif" w:hAnsi="Arial;sans-serif"/>
                  <w:b w:val="false"/>
                  <w:color w:val="0000FF"/>
                  <w:sz w:val="20"/>
                  <w:u w:val="single"/>
                </w:rPr>
                <w:t>Directors, Executive Officers and Corporate Governance</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93">
              <w:r>
                <w:rPr>
                  <w:rStyle w:val="InternetLink"/>
                  <w:rFonts w:ascii="Arial;sans-serif" w:hAnsi="Arial;sans-serif"/>
                  <w:b w:val="false"/>
                  <w:strike w:val="false"/>
                  <w:dstrike w:val="false"/>
                  <w:color w:val="000000"/>
                  <w:sz w:val="20"/>
                  <w:u w:val="none"/>
                  <w:effect w:val="none"/>
                </w:rPr>
                <w:t>125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6">
              <w:r>
                <w:rPr>
                  <w:rStyle w:val="InternetLink"/>
                  <w:rFonts w:ascii="Arial;sans-serif" w:hAnsi="Arial;sans-serif"/>
                  <w:b w:val="false"/>
                  <w:color w:val="0000FF"/>
                  <w:sz w:val="20"/>
                  <w:u w:val="single"/>
                </w:rPr>
                <w:t xml:space="preserve">Item 11. </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6">
              <w:r>
                <w:rPr>
                  <w:rStyle w:val="InternetLink"/>
                  <w:rFonts w:ascii="Arial;sans-serif" w:hAnsi="Arial;sans-serif"/>
                  <w:b w:val="false"/>
                  <w:color w:val="0000FF"/>
                  <w:sz w:val="20"/>
                  <w:u w:val="single"/>
                </w:rPr>
                <w:t>Executive Compensation</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96">
              <w:r>
                <w:rPr>
                  <w:rStyle w:val="InternetLink"/>
                  <w:rFonts w:ascii="Arial;sans-serif" w:hAnsi="Arial;sans-serif"/>
                  <w:b w:val="false"/>
                  <w:strike w:val="false"/>
                  <w:dstrike w:val="false"/>
                  <w:color w:val="000000"/>
                  <w:sz w:val="20"/>
                  <w:u w:val="none"/>
                  <w:effect w:val="none"/>
                </w:rPr>
                <w:t>125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9">
              <w:r>
                <w:rPr>
                  <w:rStyle w:val="InternetLink"/>
                  <w:rFonts w:ascii="Arial;sans-serif" w:hAnsi="Arial;sans-serif"/>
                  <w:b w:val="false"/>
                  <w:color w:val="0000FF"/>
                  <w:sz w:val="20"/>
                  <w:u w:val="single"/>
                </w:rPr>
                <w:t xml:space="preserve">Item 12.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99">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99">
              <w:r>
                <w:rPr>
                  <w:rStyle w:val="InternetLink"/>
                  <w:rFonts w:ascii="Arial;sans-serif" w:hAnsi="Arial;sans-serif"/>
                  <w:b w:val="false"/>
                  <w:strike w:val="false"/>
                  <w:dstrike w:val="false"/>
                  <w:color w:val="000000"/>
                  <w:sz w:val="20"/>
                  <w:u w:val="none"/>
                  <w:effect w:val="none"/>
                </w:rPr>
                <w:t>125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02">
              <w:r>
                <w:rPr>
                  <w:rStyle w:val="InternetLink"/>
                  <w:rFonts w:ascii="Arial;sans-serif" w:hAnsi="Arial;sans-serif"/>
                  <w:b w:val="false"/>
                  <w:color w:val="0000FF"/>
                  <w:sz w:val="20"/>
                  <w:u w:val="single"/>
                </w:rPr>
                <w:t>Item 13.</w:t>
              </w:r>
            </w:hyperlink>
            <w:r>
              <w:rPr>
                <w:color w:val="000000"/>
              </w:rPr>
              <w:t xml:space="preserve"> </w:t>
            </w:r>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02">
              <w:r>
                <w:rPr>
                  <w:rStyle w:val="InternetLink"/>
                  <w:rFonts w:ascii="Arial;sans-serif" w:hAnsi="Arial;sans-serif"/>
                  <w:b w:val="false"/>
                  <w:color w:val="0000FF"/>
                  <w:sz w:val="20"/>
                  <w:u w:val="single"/>
                </w:rPr>
                <w:t>Certain Relationships and Related Transactions and Director Independence</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02">
              <w:r>
                <w:rPr>
                  <w:rStyle w:val="InternetLink"/>
                  <w:rFonts w:ascii="Arial;sans-serif" w:hAnsi="Arial;sans-serif"/>
                  <w:b w:val="false"/>
                  <w:strike w:val="false"/>
                  <w:dstrike w:val="false"/>
                  <w:color w:val="000000"/>
                  <w:sz w:val="20"/>
                  <w:u w:val="none"/>
                  <w:effect w:val="none"/>
                </w:rPr>
                <w:t>125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05">
              <w:r>
                <w:rPr>
                  <w:rStyle w:val="InternetLink"/>
                  <w:rFonts w:ascii="Arial;sans-serif" w:hAnsi="Arial;sans-serif"/>
                  <w:b w:val="false"/>
                  <w:color w:val="0000FF"/>
                  <w:sz w:val="20"/>
                  <w:u w:val="single"/>
                </w:rPr>
                <w:t>Item 14.</w:t>
              </w:r>
            </w:hyperlink>
            <w:r>
              <w:rPr>
                <w:color w:val="000000"/>
              </w:rPr>
              <w:t xml:space="preserve"> </w:t>
            </w:r>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05">
              <w:r>
                <w:rPr>
                  <w:rStyle w:val="InternetLink"/>
                  <w:rFonts w:ascii="Arial;sans-serif" w:hAnsi="Arial;sans-serif"/>
                  <w:b w:val="false"/>
                  <w:color w:val="0000FF"/>
                  <w:sz w:val="20"/>
                  <w:u w:val="single"/>
                </w:rPr>
                <w:t>Principal Accounting Fees and Services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05">
              <w:r>
                <w:rPr>
                  <w:rStyle w:val="InternetLink"/>
                  <w:rFonts w:ascii="Arial;sans-serif" w:hAnsi="Arial;sans-serif"/>
                  <w:b w:val="false"/>
                  <w:strike w:val="false"/>
                  <w:dstrike w:val="false"/>
                  <w:color w:val="000000"/>
                  <w:sz w:val="20"/>
                  <w:u w:val="none"/>
                  <w:effect w:val="none"/>
                </w:rPr>
                <w:t>125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IV</w:t>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11">
              <w:r>
                <w:rPr>
                  <w:rStyle w:val="InternetLink"/>
                  <w:rFonts w:ascii="Arial;sans-serif" w:hAnsi="Arial;sans-serif"/>
                  <w:b w:val="false"/>
                  <w:color w:val="0000FF"/>
                  <w:sz w:val="20"/>
                  <w:u w:val="single"/>
                </w:rPr>
                <w:t>Item 15.</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11">
              <w:r>
                <w:rPr>
                  <w:rStyle w:val="InternetLink"/>
                  <w:rFonts w:ascii="Arial;sans-serif" w:hAnsi="Arial;sans-serif"/>
                  <w:b w:val="false"/>
                  <w:color w:val="0000FF"/>
                  <w:sz w:val="20"/>
                  <w:u w:val="single"/>
                </w:rPr>
                <w:t>Exhibits and Financial Statement Schedules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11">
              <w:r>
                <w:rPr>
                  <w:rStyle w:val="InternetLink"/>
                  <w:rFonts w:ascii="Arial;sans-serif" w:hAnsi="Arial;sans-serif"/>
                  <w:b w:val="false"/>
                  <w:strike w:val="false"/>
                  <w:dstrike w:val="false"/>
                  <w:color w:val="000000"/>
                  <w:sz w:val="20"/>
                  <w:u w:val="none"/>
                  <w:effect w:val="none"/>
                </w:rPr>
                <w:t>126</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14">
              <w:r>
                <w:rPr>
                  <w:rStyle w:val="InternetLink"/>
                  <w:rFonts w:ascii="Arial;sans-serif" w:hAnsi="Arial;sans-serif"/>
                  <w:b w:val="false"/>
                  <w:color w:val="0000FF"/>
                  <w:sz w:val="20"/>
                  <w:u w:val="single"/>
                </w:rPr>
                <w:t>Item 16.</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14">
              <w:r>
                <w:rPr>
                  <w:rStyle w:val="InternetLink"/>
                  <w:rFonts w:ascii="Arial;sans-serif" w:hAnsi="Arial;sans-serif"/>
                  <w:b w:val="false"/>
                  <w:color w:val="0000FF"/>
                  <w:sz w:val="20"/>
                  <w:u w:val="single"/>
                </w:rPr>
                <w:t>Form 10-K Summary</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14">
              <w:r>
                <w:rPr>
                  <w:rStyle w:val="InternetLink"/>
                  <w:rFonts w:ascii="Arial;sans-serif" w:hAnsi="Arial;sans-serif"/>
                  <w:b w:val="false"/>
                  <w:strike w:val="false"/>
                  <w:dstrike w:val="false"/>
                  <w:color w:val="000000"/>
                  <w:sz w:val="20"/>
                  <w:u w:val="none"/>
                  <w:effect w:val="none"/>
                </w:rPr>
                <w:t>130</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217">
              <w:r>
                <w:rPr>
                  <w:rStyle w:val="InternetLink"/>
                  <w:rFonts w:ascii="Arial;sans-serif" w:hAnsi="Arial;sans-serif"/>
                  <w:b w:val="false"/>
                  <w:color w:val="0000FF"/>
                  <w:sz w:val="20"/>
                  <w:u w:val="single"/>
                </w:rPr>
                <w:t>Signatures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217">
              <w:r>
                <w:rPr>
                  <w:rStyle w:val="InternetLink"/>
                  <w:rFonts w:ascii="Arial;sans-serif" w:hAnsi="Arial;sans-serif"/>
                  <w:b w:val="false"/>
                  <w:strike w:val="false"/>
                  <w:dstrike w:val="false"/>
                  <w:color w:val="000000"/>
                  <w:sz w:val="20"/>
                  <w:u w:val="none"/>
                  <w:effect w:val="none"/>
                </w:rPr>
                <w:t>131</w:t>
              </w:r>
            </w:hyperlink>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Unless the context otherwise requires, we use the terms the “Company,” “RTR,” “Rent the Runway,” “we,” “us” and “our” in this Annual Report on Form 10-K, or Annual Report, to refer to Rent the Runway, Inc. and, where appropriate, our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Risk Factor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Investing in our Class A common stock involves numerous risks, including the risks described in Part I, Item 1A. “Risk Factors” in this Annual Report on Form 10-K. You should carefully consider these risks before making an investment. Below are some of these risks, any one of which could materially adversely affect our business, financial condition, results of operations, and prospects.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are unable to drive future growth or manage our growth effectively, our brand, Company culture, and financial performance may suffer.</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global fashion industry is highly competitive and rapidly changing, and we may not be able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consumer discretionary spending and have been, and may in the future be, adversely affected by economic downturns and other macroeconomic conditions or trends and developments, including global trade policies and tariffs.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continued growth depends on our ability to attract new, and retain existing, customers, which may fluctuate based on our level of investment and success in paid marketing initiatives. If we are unable to cost-effectively grow our customer base,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fail to retain customers,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are unable to acquire and manage our products effectively and plan for future expenses, our operating results could be adversely affected.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arising from the restructuring of our operations, which could adversely affect our financial condition, results of operations, cash flows, or business reputation.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heavily on the effective operation of our proprietary technology systems and software, as well as those of our third-party vendors and service providers, for our business to effectively operate and to safeguard confidential information.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Shipping and logistics are a critical part of our business and our supply chain and any changes or interruptions in shipping or logistics operations could adversely affect our operating results.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business is subject to a large number of U.S. and non-U.S. laws and regulations, many of which are evolving.</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the experience and expertise of our Co-Founder and Chief Executive Officer, senior management team, key technical and strategic employees and hourly personnel.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adequately obtain, maintain, protect and enforce our intellectual property and proprietary rights could harm our brand, devalue our proprietary content, and adversely affect our ability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brand and manufacturing partners from whom our products are sourced or co-manufactured.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third parties to provide payment processing infrastructure underlying our business. If these third-party providers become unavailable or unavailable on favorable terms, our business could be adversely affected.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pStyle w:val="TextBody"/>
        <w:bidi w:val="0"/>
        <w:spacing w:lineRule="auto" w:line="268" w:before="80" w:after="283"/>
        <w:ind w:left="0" w:right="0" w:hanging="360"/>
        <w:jc w:val="left"/>
        <w:rPr/>
      </w:pPr>
      <w:r>
        <w:rPr>
          <w:color w:val="000000"/>
        </w:rPr>
        <w:t>•</w:t>
      </w:r>
      <w:r>
        <w:rPr>
          <w:rFonts w:ascii="Arial;sans-serif" w:hAnsi="Arial;sans-serif"/>
          <w:b w:val="false"/>
          <w:color w:val="000000"/>
          <w:sz w:val="20"/>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share price may be volatile, and investors may be unable to sell their shares at or above the price they purchased them.</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COVID-19 pandemic had a material adverse impact on our business. Other future pandemics or public health crises may have a similar adverse impact on our business.</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If we are unable to adequately address these and other risks we face, our business may be harmed.</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Annual Report include, but are not limited to, statements regarding our future results of operations and financial position, industry and business trends, share-based compensation, business strategy and initiatives, including rental product depth and availability initiatives, sustainability initiatives, business plans, promotional and marketing strategy, impacts from our cost-savings initiatives, anticipated future expenditures, product acquisition expectations, compliance with our debt covenants, market growth and our objectives for future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for the year ended January 31, 2025. 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Annual Report on Form 10-K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FISCAL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fiscal year ends on January 31 of the next calendar year. For example, in this Annual Report on Form 10-K, references to “fiscal year 2025” refer to the fiscal year ending January 31, 2026, references to “fiscal year 2024” refer to the fiscal year ended January 31, 2025, and references to “fiscal year 2023” refer to the fiscal year ended January 31,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mission is to power women to feel their best every day.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Since our f</w:t>
      </w:r>
      <w:r>
        <w:rPr>
          <w:rFonts w:ascii="Arial;sans-serif" w:hAnsi="Arial;sans-serif"/>
          <w:b w:val="false"/>
          <w:color w:val="000000"/>
          <w:sz w:val="20"/>
          <w:shd w:fill="FFFFFF" w:val="clear"/>
        </w:rPr>
        <w:t xml:space="preserve">ounding in </w:t>
      </w:r>
      <w:r>
        <w:rPr>
          <w:rFonts w:ascii="Arial;sans-serif" w:hAnsi="Arial;sans-serif"/>
          <w:b w:val="false"/>
          <w:color w:val="000000"/>
          <w:sz w:val="20"/>
        </w:rPr>
        <w:t>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164,004 total subscribers (active and paused) as of January 31, 2025. We had 119,778 active subscribers as of January 31, 2025. In fiscal year 2024, 88% of our total revenue was generated by subscribers, unchanged from fiscal year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When our customers use Rent the Runway, they experience the magic of accessing an “Unlimited Closet” while saving money and time and reducing clothing waste. We deliver significant financial value to customers, with our average subscriber wearing clothes worth more than 26 times what she pays for a monthly RTR Subscription on an annualized basis (more than $49,000 in designer retail value in fiscal year 2024</w:t>
      </w:r>
      <w:r>
        <w:rPr>
          <w:rFonts w:ascii="Arial;sans-serif" w:hAnsi="Arial;sans-serif"/>
          <w:b w:val="false"/>
          <w:color w:val="000000"/>
          <w:sz w:val="13"/>
        </w:rPr>
        <w:t>1</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According to our June 2021 Rent the Runway Brand Survey, approximately 91% of our brand partners work with us because we introduce them to new, desirable customers and deepen awareness of their brands. Over the last 15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Brand Partner Advantage. Our assortment contains thousands of new, current season styles that luxury competitors simultaneously carry - 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Data Advantage.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Technology and Logistics Advantage.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How It Works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offer customers three ways to access our closet: monthly subscription or “Subscription”, a-la-carte rentals or “Reserve” and purchasing through our Resale offering.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Subscription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Pick a Plan.</w:t>
      </w:r>
      <w:r>
        <w:rPr>
          <w:color w:val="000000"/>
        </w:rPr>
        <w:t xml:space="preserve"> </w:t>
      </w:r>
      <w:r>
        <w:rPr>
          <w:rFonts w:ascii="Arial;sans-serif" w:hAnsi="Arial;sans-serif"/>
          <w:b w:val="false"/>
          <w:color w:val="000000"/>
          <w:sz w:val="20"/>
        </w:rPr>
        <w:t xml:space="preserve">When customers subscribe, they select from a menu of entry plans. Beginning in March 2023, we added an extra item to each shipment per plan at no extra cost to our subscribers. Each plan now starts with five items, or “spots,” per shipment, and varies based on how often the subscriber wishes to receive new shipments, each a “swap.” Today, our subscribers onboard into plans that offer multiple shipments with pricing ranging from $94 to $235 per month.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Customize. </w:t>
      </w:r>
      <w:r>
        <w:rPr>
          <w:rFonts w:ascii="Arial;sans-serif" w:hAnsi="Arial;sans-serif"/>
          <w:b w:val="false"/>
          <w:color w:val="000000"/>
          <w:sz w:val="20"/>
        </w:rPr>
        <w:t>Subscribers can customize their plans to adapt to their changing lifestyles, needs and budgets by adding spots for $27 or $31 per item per month and shipments for $39 - $50 per shipment per month, as they see fit.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Choose Items. </w:t>
      </w:r>
      <w:r>
        <w:rPr>
          <w:rFonts w:ascii="Arial;sans-serif" w:hAnsi="Arial;sans-serif"/>
          <w:b w:val="false"/>
          <w:color w:val="000000"/>
          <w:sz w:val="20"/>
        </w:rPr>
        <w:t>After picking a plan, subscribers browse our broad assortment of items to build their first shipment.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Wear, Repeat</w:t>
      </w:r>
      <w:r>
        <w:rPr>
          <w:rFonts w:ascii="Arial;sans-serif" w:hAnsi="Arial;sans-serif"/>
          <w:b w:val="false"/>
          <w:color w:val="000000"/>
          <w:sz w:val="20"/>
        </w:rPr>
        <w:t>. When subscribers place an order, we aim to deliver their order within three business days of shipping from our fulfillment centers in our reusable garment bags, cleaned and ready to wear.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Subscribers keep items for as long as they would like and may choose to return some or all of their items with each new shipment. When subscribers select the items they want to return on our app, we allow them to immediately start building their next shipment, maximizing their time with items at home. Our subscribers typically visit our app multiple times per week.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Subscribers are asked to give us real-time feedback on the size, fit and quality of the items they rent. The structured data we collect from customer feedback allows us to both improve her experience as well as optimize our garment care and, therefore, our return on investment of the items returned. Our customers also have the option of leaving photo reviews of items they rented to share their experience with the Rent the Runway community, including fit information, occasions they rented for and styling tips. Once subscribers confirm their new shipment, they can return their items in RTR’s reusable garment bag to the nearest preferred shipping partner location using a prepaid return label. In addition, a majority of our subscribers have the option to return their items via our at-home pickup offering that we introduced in 2021. As of January 31, 2025, our at-home pickup offering covered 92% of our subscriber base.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Reserve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When customers want to rent items a-la-carte for an upcoming event, they book styles for four or eight days through our Reserve offering. After selecting pieces, they typically select a delivery date one to two days before their event.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our customers have the option of leaving a review, and we clean and care for items when they are returned.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renting, customers also shop pre-loved styles from our closet at a discount to retail price, up to 90% off of designer retail value (which we calculate using original retail and/or comparable value prices). A Subscription is not required for purchase. Our subscribers also have the option to purchase items they already have at home.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Our Customer Value Proposition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Through our platform, we have helped approximately 3 million lifetime customers discover the transformative power of utilizing our Closet in the Cloud across all of our offerings. Our customer base is diverse and spans age, household income distribution and U.S. geography.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Subscribers are customers who access our Closet in the Cloud via our monthly Subscription offering. The portion of our customers who are subscribers accounted for 88% of our revenue in fiscal year 2024. As of January 31, 2025, we had 119,778 Active Subscribers and 164,004 total subscribers including paused subscribers, and during fiscal year 2024, we had 132,574 Average Active Subscribers. Many of our subscribers started as customers in Reserve and Resale and we continue to see activation from Reserve and Resale customers into subscribers for many years.</w: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Variety and Discovery.</w:t>
      </w:r>
      <w:r>
        <w:rPr>
          <w:color w:val="000000"/>
        </w:rPr>
        <w:t xml:space="preserve"> </w:t>
      </w:r>
      <w:r>
        <w:rPr>
          <w:rFonts w:ascii="Arial;sans-serif" w:hAnsi="Arial;sans-serif"/>
          <w:b w:val="false"/>
          <w:color w:val="000000"/>
          <w:sz w:val="20"/>
        </w:rPr>
        <w:t>With thousands of styles across hundreds of brands in our Closet in the Cloud, Rent the Runway gives customers the ability to always wear something new to them and inspires customers to expand their fashion tastes without risk of buyer’s remorse. According to our March 2024 Subscriber Survey, 82% of our subscribers say RTR allows them to experiment with different clothing without commitment.</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 xml:space="preserve">Value. </w:t>
      </w:r>
      <w:r>
        <w:rPr>
          <w:rFonts w:ascii="Arial;sans-serif" w:hAnsi="Arial;sans-serif"/>
          <w:b w:val="false"/>
          <w:color w:val="000000"/>
          <w:sz w:val="20"/>
        </w:rPr>
        <w:t>Rent the Runway makes thousands of designer styles accessible through our Subscription offering for a flat monthly price or through our Reserve offering on a per item basis. We deliver significant financial value to customers, with our average subscriber wearing clothes worth more than 26 times what she pays for a monthly RTR Subscription on an annualized basis.</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Self-Confidence.</w:t>
      </w:r>
      <w:r>
        <w:rPr>
          <w:color w:val="000000"/>
        </w:rPr>
        <w:t xml:space="preserve"> </w:t>
      </w:r>
      <w:r>
        <w:rPr>
          <w:rFonts w:ascii="Arial;sans-serif" w:hAnsi="Arial;sans-serif"/>
          <w:b w:val="false"/>
          <w:color w:val="000000"/>
          <w:sz w:val="20"/>
        </w:rPr>
        <w:t>According to our March 2023 Subscriber Survey, 83% of our subscribers say RTR makes them the most confident version of themselves at work or in social settings. Because there is no commitment to keep an item rented from RTR, we fuel greater self-expression for our customers.</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Personalization and Convenienc</w:t>
      </w:r>
      <w:r>
        <w:rPr>
          <w:rFonts w:ascii="Arial;sans-serif" w:hAnsi="Arial;sans-serif"/>
          <w:b/>
          <w:color w:val="000000"/>
          <w:sz w:val="20"/>
        </w:rPr>
        <w:t>e</w:t>
      </w:r>
      <w:r>
        <w:rPr>
          <w:rFonts w:ascii="Arial;sans-serif" w:hAnsi="Arial;sans-serif"/>
          <w:b w:val="false"/>
          <w:color w:val="000000"/>
          <w:sz w:val="20"/>
        </w:rPr>
        <w:t xml:space="preserve">. We use our rich customer data to create a personalized storefront for customers based on their style preferences, browsing history and past rentals. Our understanding of our customer improves with each interaction, and we use our personalization algorithm to provide personalized size recommendations to each customer at the item level. By showing customers designs they will love that are attractively styled, and likely to fit, we continue to drive strong loyalty and monetization. </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 xml:space="preserve">Customer Experience and Community. </w:t>
      </w:r>
      <w:r>
        <w:rPr>
          <w:rFonts w:ascii="Arial;sans-serif" w:hAnsi="Arial;sans-serif"/>
          <w:b w:val="false"/>
          <w:color w:val="000000"/>
          <w:sz w:val="20"/>
        </w:rPr>
        <w:t>Our customers are deeply engaged, as evidenced by the 56.5 million customer reviews posted as of January 2025. We continue to make enhancements to our review process designed to allow customers to make smarter choices and feel good about their selections. Rent the Runway has also benefited from virality and word-of-mouth marketing over the years. 80% of subscribers have shared RTR with at least five people; 43% have shared with over 10 people and 75% of our customers posted themselves wearing Rent the Runway on social media, as indicated by our March 2023 Subscriber Survey.</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Unique Brand Partner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acquire our products through three channels: Wholesale, Share by RTR and Exclusive Designs. The portion of our products sourced through Share by RTR and Exclusive Designs - our more capital-efficient sources - has grown from approximately 26% in fiscal year 2019 to approximately 70% in fiscal year 2024. We procure virtually 100% of our products directly from or in collaboration with brand partners and our business model has been built on shared success with brands. Through their relationships with us, they get access to unique data and exposure to a broad customer base, and our variety of sourcing channels provides brands with flexibility that is designed to meet their needs and ours. Our partnerships with brands have created a significant product and cost advantage. Because we source directly from brands, we also can control our assortment and acquire styles in the volumes and sizes we want, we have access to current season items and all of our items are guaranteed authentic without the cost or infrastructure of traditional authentication platforms. See Part II, Item 7, “Management’s Discussion and Analysis of Financial Condition and Results of Operations—Our Product Acquisition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Wholesale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Wholesale includes products we acquire directly from our brand partners, typically at a discount to wholesale price based on our scale. We have observed that the original retail prices set by the brands are often at an approximately 2.5x mark-up to the wholesale price. As we continue to expand our selection and grow the share of our assortment acquired from a designer, we benefit from greater discounts on product acquisition. Wholesale represented 30% of our product acquisition in fiscal year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by RTR</w:t>
      </w:r>
    </w:p>
    <w:p>
      <w:pPr>
        <w:pStyle w:val="TextBody"/>
        <w:bidi w:val="0"/>
        <w:spacing w:lineRule="auto" w:line="288" w:before="120" w:after="283"/>
        <w:jc w:val="left"/>
        <w:rPr/>
      </w:pPr>
      <w:r>
        <w:rPr>
          <w:rFonts w:ascii="Arial;sans-serif" w:hAnsi="Arial;sans-serif"/>
          <w:b w:val="false"/>
          <w:color w:val="000000"/>
          <w:sz w:val="20"/>
        </w:rPr>
        <w:t xml:space="preserve">Through Share by RTR, we acquire items directly from brand partners on consignment, at zero to low upfront cost and revenue share with our brands each time an item is rented. The revenue share fees are calculated net of a logistics fee charged to the brands for each rental. If a piece is in greater demand, it will drive higher revenue, which could result in brands earning more on the item over time than if it had been sold through Wholesale, generally subject to a maximum cap. Share by RTR aligns incentives between brands and RTR and alleviates product risk as it is largely a pay-for-performance model. </w:t>
      </w:r>
      <w:r>
        <w:rPr>
          <w:rFonts w:ascii="Arial;sans-serif" w:hAnsi="Arial;sans-serif"/>
          <w:b w:val="false"/>
          <w:color w:val="000000"/>
          <w:sz w:val="20"/>
          <w:shd w:fill="FFFFFF" w:val="clear"/>
        </w:rPr>
        <w:t>Our Share by RTR arrangements with brands target deliveri</w:t>
      </w:r>
      <w:r>
        <w:rPr>
          <w:rFonts w:ascii="Arial;sans-serif" w:hAnsi="Arial;sans-serif"/>
          <w:b w:val="false"/>
          <w:color w:val="000000"/>
          <w:sz w:val="20"/>
        </w:rPr>
        <w:t>ng 75% to 100% of co</w:t>
      </w:r>
      <w:r>
        <w:rPr>
          <w:rFonts w:ascii="Arial;sans-serif" w:hAnsi="Arial;sans-serif"/>
          <w:b w:val="false"/>
          <w:color w:val="000000"/>
          <w:sz w:val="20"/>
          <w:shd w:fill="FFFFFF" w:val="clear"/>
        </w:rPr>
        <w:t>mparable Wholesale cost to the brand in the first year; however there is no minimum commitment other than the upfront payment if applicab</w:t>
      </w:r>
      <w:r>
        <w:rPr>
          <w:rFonts w:ascii="Arial;sans-serif" w:hAnsi="Arial;sans-serif"/>
          <w:b w:val="false"/>
          <w:color w:val="000000"/>
          <w:sz w:val="20"/>
        </w:rPr>
        <w:t>le. Nearly all Share by RTR deals consummated after September 2020 include a cap on total potential payments to the brand partner. Share by RTR represented 48% of our product acquisition in fiscal year 2024.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Exclusive Designs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leverage our data to create highly desirable Exclusive Designs in collaboration with select brand partners that we manufacture through third-party partners to be more durable and at approximately 50% lower cost than Wholesale. For these collaborations, we provide a data blueprint to brands and, based on this data, they design new collections for us that carry their brand name. For fiscal year 2025, we have introduced another approach to our Exclusive Designs in which certain brands design, source and manufacture the rental product directly in partnership with us.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Exclusive Designs collections enable our brand partners to innovate their businesses and enter into new product lines at reduced cost to them. All of the styles are exclusive to rent on RTR for a period of time, after which brands may monetize these exclusive designs through other channels, which in some cases is subject to a royalty fee payment to Rent the Runway (that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We also have a small number of products bearing our trademarks, which are non-exclusive designs produced by third party partners at a significantly lower average cost than Wholesale to strategically fill assortment gaps. Exclusive Designs accounted for 22% of our product acquisition in fiscal year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Marketing Strategy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Our brand and deeply engaged consumer base have historically allowed us to acquire customers efficiently. Since our founding, we have spent les</w:t>
      </w:r>
      <w:r>
        <w:rPr>
          <w:rFonts w:ascii="Arial;sans-serif" w:hAnsi="Arial;sans-serif"/>
          <w:b w:val="false"/>
          <w:color w:val="000000"/>
          <w:sz w:val="20"/>
          <w:shd w:fill="FFFFFF" w:val="clear"/>
        </w:rPr>
        <w:t>s tha</w:t>
      </w:r>
      <w:r>
        <w:rPr>
          <w:rFonts w:ascii="Arial;sans-serif" w:hAnsi="Arial;sans-serif"/>
          <w:b w:val="false"/>
          <w:color w:val="000000"/>
          <w:sz w:val="20"/>
        </w:rPr>
        <w:t>n 10% of total revenue on marketing, and our growth has been mostly organic. Over a majority of our customers over the last 15 years have been acquired organically. As we have scaled, we have seen the value of the Rent the Runway brand grow and become a significant point of differentiation with consumers and brand partners. We believe we have an opportunity to increase brand awareness and as of December 2023, our unaided brand awareness was 19% among U.S. women ages 18 - 45 with a household income of $50,000 or more and 27% among U.S. women ages 18 - 45 with a household income of $100,000 or more.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of our customers share a love of the Rent the Runway experience and value proposition, which starts conversations both online and offline and leads to word of mouth adoption. Our clothing often becomes a visual billboard and advertisement for our platform. Many women share their Rent the Runway experience on social media and in their personal lives, which helps drive our organic growth and brand awareness. When our customers are wearing RTR and someone compliments them or asks about what they are wearing, 97% of our subscribers share that it’s Rent the Runway as opposed to the designer brand name. According to our March 2023 Subscriber Survey, nearly half of our subscribers have posted themselves wearing RTR on their social media over five times. Renting from us is an inherently social behavior: 76% of our subscribers rent along with a friend or colleague. In fiscal year 2024, we increased our efforts to drive brand awareness and grow traffic through brand campaigns, new marketing channels and focusing on full funnel marketing efforts and enhanced lifecycle marketing.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majority of our new customers have historically come to Rent the Runway organically, a trend that continued in fiscal year 2024. Our marketing strategy in fiscal year 2025 is focused on three key areas. First, we expect our marketing to highlight to our customers the significant increase in the quantity and desirability of rental product expected this fiscal year. Second, we expect to focus on driving new customers to Rent the Runway through enhanced search placements and email marketing. Finally, we aim to increase our focus on paid influencers and on our organic social media channels to drive awareness with new customers. We expect that our marketing efforts in conjunction with improved paid marketing efficiency will enhance our ability to acquire new customers.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Data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of our significant differentiators is the vast amount of quality, actionable data that we are able to collect on our customers and our products. We leverage this data to create benefits for our customers, our brand partners and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capture thousands of unique data points per subscriber per year and over 20 unique data points per item each time it is rented across four channels including website data, post-wear data, operations data and customer data. We also identify and tag approximately 75 detailed attributes per style. By mapping our interactions with our products’ inherent attributes, we create a feedback loop which allows us to optimize the supply of products in ways we believe that would be difficult for traditional retailers to achieve or replicate. We believe this is one of our biggest competitive advantages.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our differentiated business model enables us to collect substantially more data than others in our space and we use this data to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assortments and personalized experiences for our customers, which in turn helps to drive loyalty. As we learn more about a customer, our personalized features give us greater ability to direct her towards the items that optimize both customer lifetime value and rental product return on investment for 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data advantage benefits brand partners in numerous ways: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Understanding the Garment Life Cycle:</w:t>
      </w:r>
      <w:r>
        <w:rPr>
          <w:color w:val="000000"/>
        </w:rPr>
        <w:t xml:space="preserve"> </w:t>
      </w:r>
      <w:r>
        <w:rPr>
          <w:rFonts w:ascii="Arial;sans-serif" w:hAnsi="Arial;sans-serif"/>
          <w:b w:val="false"/>
          <w:color w:val="000000"/>
          <w:sz w:val="20"/>
        </w:rPr>
        <w:t xml:space="preserve">We help partners grow their business through the data we provide. Product longevity data often help our brands increase the life of their garments, which can support their sustainability goals.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Understanding Customer Demand: </w:t>
      </w:r>
      <w:r>
        <w:rPr>
          <w:rFonts w:ascii="Arial;sans-serif" w:hAnsi="Arial;sans-serif"/>
          <w:b w:val="false"/>
          <w:color w:val="000000"/>
          <w:sz w:val="20"/>
        </w:rPr>
        <w:t>As our customers wear (or don’t wear) and review items, we can assess demand due to our robust attribution of products paired with customer interaction data. This data highlights growth opportunities for brands as well as areas for improvement.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data also allows us to continually optimize the return on investment on products and customer lifetime value, which are dependent on the following inputs, all of which continuously improve as our business scales.</w: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Scientific Product Acquisition: </w:t>
      </w:r>
      <w:r>
        <w:rPr>
          <w:rFonts w:ascii="Arial;sans-serif" w:hAnsi="Arial;sans-serif"/>
          <w:b w:val="false"/>
          <w:color w:val="000000"/>
          <w:sz w:val="20"/>
        </w:rPr>
        <w:t xml:space="preserve">Our data provides a comprehensive picture of our products by bringing together customer feedback, operations data and inherent product attributes. Our analytics teams utilize this data to optimize the styles we need and the quantity per style. </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Price Optimization: </w:t>
      </w:r>
      <w:r>
        <w:rPr>
          <w:rFonts w:ascii="Arial;sans-serif" w:hAnsi="Arial;sans-serif"/>
          <w:b w:val="false"/>
          <w:color w:val="000000"/>
          <w:sz w:val="20"/>
        </w:rPr>
        <w:t>We optimize pricing on our products across Subscription, Reserve and Resale by using data</w:t>
      </w:r>
      <w:r>
        <w:rPr>
          <w:color w:val="000000"/>
        </w:rPr>
        <w:t xml:space="preserve"> </w:t>
      </w:r>
      <w:r>
        <w:rPr>
          <w:rFonts w:ascii="Arial;sans-serif" w:hAnsi="Arial;sans-serif"/>
          <w:b w:val="false"/>
          <w:color w:val="000000"/>
          <w:sz w:val="20"/>
        </w:rPr>
        <w:t>to take into account demand signals and the expected useful life and turns of each item. We have the flexibility to optimize prices based on the business needs.</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Lower Cost Product:</w:t>
      </w:r>
      <w:r>
        <w:rPr>
          <w:color w:val="000000"/>
        </w:rPr>
        <w:t xml:space="preserve"> </w:t>
      </w:r>
      <w:r>
        <w:rPr>
          <w:rFonts w:ascii="Arial;sans-serif" w:hAnsi="Arial;sans-serif"/>
          <w:b w:val="false"/>
          <w:color w:val="000000"/>
          <w:sz w:val="20"/>
        </w:rPr>
        <w:t>We leverage our data to create highly desirable Exclusive Designs in collaboration with our brand partners that we or our brand partners manufacture to be more durable at significantly lower cost.</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Longer Product Life:</w:t>
      </w:r>
      <w:r>
        <w:rPr>
          <w:color w:val="000000"/>
        </w:rPr>
        <w:t xml:space="preserve"> </w:t>
      </w:r>
      <w:r>
        <w:rPr>
          <w:rFonts w:ascii="Arial;sans-serif" w:hAnsi="Arial;sans-serif"/>
          <w:b w:val="false"/>
          <w:color w:val="000000"/>
          <w:sz w:val="20"/>
        </w:rPr>
        <w:t>Our feedback to brands helps us customize for higher longevity of our products - we understand how to clean and care for garments to maximize multi-year monetization and incremental turns per unit.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Data Science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Data powers our technology and logistics operations, from recommender systems to forecasting. We have created data science algorithms that help us achieve better outcomes for the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Some of our most impactful proprietary algorithms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Deep 1:1 Personalization: </w:t>
      </w:r>
      <w:r>
        <w:rPr>
          <w:rFonts w:ascii="Arial;sans-serif" w:hAnsi="Arial;sans-serif"/>
          <w:b w:val="false"/>
          <w:color w:val="000000"/>
          <w:sz w:val="20"/>
        </w:rPr>
        <w:t>For each customer and item, we compute several scores that measure the affinity of item and 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Retention Predictive Model: </w:t>
      </w:r>
      <w:r>
        <w:rPr>
          <w:rFonts w:ascii="Arial;sans-serif" w:hAnsi="Arial;sans-serif"/>
          <w:b w:val="false"/>
          <w:color w:val="000000"/>
          <w:sz w:val="20"/>
        </w:rPr>
        <w:t>We leverage a retention predictive model and analytics to identify and understand the relative importance of various drivers of loyalty and prioritize the interventions that have the highest probability of improving customer retention. We regularly leverage this data to experiment with different approaches to retain customers based on this model in a targeted and personalized way.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Computer Vision for Products: </w:t>
      </w:r>
      <w:r>
        <w:rPr>
          <w:rFonts w:ascii="Arial;sans-serif" w:hAnsi="Arial;sans-serif"/>
          <w:b w:val="false"/>
          <w:color w:val="000000"/>
          <w:sz w:val="20"/>
        </w:rPr>
        <w:t>For each style in our assortment, we generate an embedding with over 2,000 visual style dimensions using deep learning that capture color, pattern shape, sleeve length, etc. We leverage this data as a feature in our recommender systems, to cluster styles to inform product acquisition and provide product attributes in our product catalog amongst other uses.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Technology and Logistics Platform</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built a cohesive platform that pairs proprietary and third-party software with differentiated infrastructure and hardware all tailored to the sharing economy of physical goods. Our proprietary software and key integrations with third-parties leverage our vast and unique dataset to optimize key outcomes for RTR.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Proprietary and Third-Party Software and Systems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purpose-built technology to support three key areas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Customer Facing e-Commerce (including 2-Way e-Commerce)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Rental Reverse Logistics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Merchandising &amp; Products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Customer Facing e-Commerce (including 2-Way e-commerce)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a 2-way relationship with our customers — in that nearly every item is returned and the customer provides feedback. We have built custom frontend platforms that support Subscription, Reserve and Resale in one cohesive experience for the customer, which allows us to optimize our product offering for the customer based on her needs.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fiscal year 2024, we continued to make improvements across our technology stack, including continued improvements to our cloud infrastructure, to enable greater scale, enhanced resiliency and faster site speed. Additionally, we have enhanced our core platforms to improve search, merchandising, and product discovery, aimed at creating a more seamless and personalized customer experience. We continue to focus on improving the performance of our website and mobile application, including increasing reliability to improve the customer experience and keep pace with industry standards.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Rental Reverse Logistics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designed our technology and reverse logistics operations to support the processes in our fulfillment centers and ensure that we can process orders efficiently and extend the useful life of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Garment Science: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Cleaning Intelligence: We have over a decade of data and expertise in optimizing the life of a garment by leveraging different cleaning and care methods.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Cleaning Automation: Automation supports dynamic sorting of items into as many as 23 different cleaning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Garment Care and Restoration: All units undergo one or more quality audits before being available to rent for the next customer. </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Intelligent Fulfillment Network</w:t>
      </w:r>
      <w:r>
        <w:rPr>
          <w:rFonts w:ascii="Arial;sans-serif" w:hAnsi="Arial;sans-serif"/>
          <w:b w:val="false"/>
          <w:color w:val="000000"/>
          <w:sz w:val="20"/>
        </w:rPr>
        <w:t>: Our unified booking engine, the “brain” of our distribution capabilities, dynamically manages decisions such as which fulfillment center to ship a unit from or which transportation type to select to reduce cost. We are therefore able to maintain uptime throughout the year, such as during snowstorms or power outages by moving demand to another facility.</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Optimized Storage:</w:t>
      </w:r>
      <w:r>
        <w:rPr>
          <w:color w:val="000000"/>
        </w:rPr>
        <w:t xml:space="preserve"> </w:t>
      </w:r>
      <w:r>
        <w:rPr>
          <w:rFonts w:ascii="Arial;sans-serif" w:hAnsi="Arial;sans-serif"/>
          <w:b w:val="false"/>
          <w:color w:val="000000"/>
          <w:sz w:val="20"/>
        </w:rPr>
        <w:t>Garments and accessories are stored in multi-story pick modules that utilize both on-hanger and flat pack storage solutions. All items are stored randomly, maximizing the utilization of cubic storage space. Random storage allows for efficient putaway of garments and dynamically created pick paths that save labor cost.</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RFID: </w:t>
      </w:r>
      <w:r>
        <w:rPr>
          <w:rFonts w:ascii="Arial;sans-serif" w:hAnsi="Arial;sans-serif"/>
          <w:b w:val="false"/>
          <w:color w:val="000000"/>
          <w:sz w:val="20"/>
        </w:rPr>
        <w:t xml:space="preserve">We tag each unit of apparel and all reusable garment bags with RFID tags, which increases throughput, reduces cost, improves rental product control and enables new forms of automation. Since launching RFID tags in 2021, hundreds of thousands of scans each day are created by these tags in a fraction of a second, replacing manual barcode scans that took much longer. </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Fulfillment Efficiency: </w:t>
      </w:r>
      <w:r>
        <w:rPr>
          <w:rFonts w:ascii="Arial;sans-serif" w:hAnsi="Arial;sans-serif"/>
          <w:b w:val="false"/>
          <w:color w:val="000000"/>
          <w:sz w:val="20"/>
        </w:rPr>
        <w:t>We have automated various parts of the fulfillment process including picking, order consolidation and packing. Our fulfillment engine dynamically prioritizes customer orders based on promised delivery date, transportation departure schedules and available capacity.</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Transportation Innovation: </w:t>
      </w:r>
      <w:r>
        <w:rPr>
          <w:rFonts w:ascii="Arial;sans-serif" w:hAnsi="Arial;sans-serif"/>
          <w:b w:val="false"/>
          <w:color w:val="000000"/>
          <w:sz w:val="20"/>
        </w:rPr>
        <w:t>We have invested in an outbound and inbound network that allows our customers to receive packages and return items efficiently via national returns logistics providers, including through our convenient at-home pickup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Merchandising and Product Control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proprietary product catalog system is the backbone of our rental product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image-algorithm-driven attribution to assign product attributes per style, making the ingestion of new styles into the Rent the Runway catalog fast and easy without sacrificing valuable data collection. The catalog serves as the starting point for products at RTR, and drives many areas of the Rent the Runway website and operation including quality control, search, navigation, and filtering.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have built the majority of our circular platform, we strategically leverage third-party software for commodity functionality where our problems are not unique. These include pieces of the customer experience and service tools and enterprise resource planning capabilities.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Logistics Infrastructure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Within our warehouses, we have integrated superior garment care equipment, internally and externally developed software and proprietary cleaning programs to deliver high-end garment processing at massive scale. We have implemented large-scale, innovative automation and other processes for garment storage, picking, shipping, receiving and restoration of garments to excellent condition. These processes have resulted in labor and other cost savings, while increasing our total shipment capacity and increasing the longevity of products, our biggest asset.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Strategic Distribution: </w:t>
      </w:r>
      <w:r>
        <w:rPr>
          <w:rFonts w:ascii="Arial;sans-serif" w:hAnsi="Arial;sans-serif"/>
          <w:b w:val="false"/>
          <w:color w:val="000000"/>
          <w:sz w:val="20"/>
        </w:rPr>
        <w:t>We have two fulfillment centers, in Arlington, Texas and Secaucus, New Jersey totaling approximately 486,000 square feet. We have the capacity to store more tha</w:t>
      </w:r>
      <w:r>
        <w:rPr>
          <w:rFonts w:ascii="Arial;sans-serif" w:hAnsi="Arial;sans-serif"/>
          <w:b w:val="false"/>
          <w:color w:val="000000"/>
          <w:sz w:val="20"/>
          <w:shd w:fill="FFFFFF" w:val="clear"/>
        </w:rPr>
        <w:t xml:space="preserve">n </w:t>
      </w:r>
      <w:r>
        <w:rPr>
          <w:rFonts w:ascii="Arial;sans-serif" w:hAnsi="Arial;sans-serif"/>
          <w:b w:val="false"/>
          <w:color w:val="000000"/>
          <w:sz w:val="20"/>
        </w:rPr>
        <w:t xml:space="preserve">two million garments </w:t>
      </w:r>
      <w:r>
        <w:rPr>
          <w:rFonts w:ascii="Arial;sans-serif" w:hAnsi="Arial;sans-serif"/>
          <w:b w:val="false"/>
          <w:color w:val="000000"/>
          <w:sz w:val="20"/>
          <w:shd w:fill="FFFFFF" w:val="clear"/>
        </w:rPr>
        <w:t xml:space="preserve">and accessories on multiple floors across our fulfillment centers. We aim to deliver industry leading fulfillment promises with a goal of </w:t>
      </w:r>
      <w:r>
        <w:rPr>
          <w:rFonts w:ascii="Arial;sans-serif" w:hAnsi="Arial;sans-serif"/>
          <w:b w:val="false"/>
          <w:color w:val="000000"/>
          <w:sz w:val="20"/>
        </w:rPr>
        <w:t xml:space="preserve">delivering orders within two to three business days.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Garment Care Hardware:</w:t>
      </w:r>
      <w:r>
        <w:rPr>
          <w:color w:val="000000"/>
        </w:rPr>
        <w:t xml:space="preserve"> </w:t>
      </w:r>
      <w:r>
        <w:rPr>
          <w:rFonts w:ascii="Arial;sans-serif" w:hAnsi="Arial;sans-serif"/>
          <w:b w:val="false"/>
          <w:color w:val="000000"/>
          <w:sz w:val="20"/>
        </w:rPr>
        <w:t>Our facilities are equipped with a curated set of over 450 pieces of digitally integrated garment care hardware including wet cleaning, dry cleaning and spray cleaning machines; dryers, steam tunnels, pressers, spotting boards, auto-baggers and commercial sewing machines.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Processing: </w:t>
      </w:r>
      <w:r>
        <w:rPr>
          <w:rFonts w:ascii="Arial;sans-serif" w:hAnsi="Arial;sans-serif"/>
          <w:b w:val="false"/>
          <w:color w:val="000000"/>
          <w:sz w:val="20"/>
        </w:rPr>
        <w:t>Garments flow through the facility on both rail and belt-driven conveyance guided by RFID tags linked to a massive 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Proven Scalability: </w:t>
      </w:r>
      <w:r>
        <w:rPr>
          <w:rFonts w:ascii="Arial;sans-serif" w:hAnsi="Arial;sans-serif"/>
          <w:b w:val="false"/>
          <w:color w:val="000000"/>
          <w:sz w:val="20"/>
        </w:rPr>
        <w:t>Our infrastructure is highly scalable and we expect our weekly processing capacity to increase over time. We believe that the process improvements we have made have enabled us to expand our capacity to handle at least 4x our active subscriber count at the end of fiscal year 2024 in our two current facilities with minimal additional investment.</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Transportation Management: </w:t>
      </w:r>
      <w:r>
        <w:rPr>
          <w:rFonts w:ascii="Arial;sans-serif" w:hAnsi="Arial;sans-serif"/>
          <w:b w:val="false"/>
          <w:color w:val="000000"/>
          <w:sz w:val="20"/>
        </w:rPr>
        <w:t>Since August 2023, we have partnered with a major national carrier to provide us with competitive shipping rates and consolidate the vast majority of our shipping needs. We believe this partnership enables us to continue serving our customers with premium delivery and return service, and to further expand our elevated returns and delivery experience like At-Home Pick Up and Saturday Delivery. We also partner with other service providers in certain markets in order to serve our customers effectively.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2025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belief is that we can drive future growth by investing in and improving the customer experience. Unlike traditional e-commerce companies, we are an experience-based company that our subscribers engage with multiple times a week. Our goal is to make customers’ time spent with Rent the Runway as efficient and delightful as possible and to continue to invest in our customer experience.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plans for fiscal year 2025 are focused on improving customer retention and acquisition by significantly increasing the availability and desirability of rental products on our website and app. We also expect to devote substantial attention to product enhancements and features like customer onboarding, inventory in-stock notification, styling services, personalized text-based customer service, and a loyalty program. Our aim is for these features to improve customer retention.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our marketing efforts are expected to focus on highlighting to customers both the rental product increases and product enhancements we expect to make in fiscal year 2025. Our marketing efforts are also focused on developing a paid influencer strategy and on improving the performance of our organic social channels.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Finally, we expect to balance greater customer growth with a continued focus on fixed cost efficiency and by increasing our percentage of Share by RTR items to achieve our profitability goals.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Seasonality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experience seasonality in our business, which has been impacted due to the effects of COVID-19, the macro environment, and business decisions and may in the future continue to evolve.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For example, in fiscal year 2022, we believe that a price increase of our Subscription programs in April 2022 affected traditional seasonal patterns. In fiscal year 2023, we believe that changes in rental product in-stock levels and changes to promotional prices also disrupted typical seasonality. However, in fiscal year 2024, we observed more typical seasonal patterns. Given continued business changes, our future seasonality may not resemble historical trends.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typically dependent on timing of receipt of product.</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additional information, see the section of Part I, Item 1A, “Risk Factors — Risks Relating To Our Business and Industry — Our business is affected by seasonality.”</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For example, key trends include consumers prioritizing access over ownership, consumers increasingly seeking variety and newness, growth in online shopping, an increasingly female workforce, and consumers valuing sustainability as it relates to fashion choices. See the section of Part I, Item 1A titled “Risk Factors — Risks Relating To Our Business and Industry — The global fashion industry is highly competitive and rapidly changing, and we may not be able to compete effectively.”</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Government Regulation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cybersecurity,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(“PCI”) Data Security Standard.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Part I, Item 1A, “Risk Factors — Risks Related to Our Legal and Regulatory Environment” for additional information about the laws and regulations we are subject to and the risks to our business associated with such laws and regulations.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shd w:fill="FFFFFF" w:val="clear"/>
        </w:rPr>
        <w:t>As of January 31, 2025, we had five issued patents in the United States that expire between 2031 and 2037 and three issued foreign patents. While we believe our patents in the aggregate generally enhance our competitive position, no single patent is materi</w:t>
      </w:r>
      <w:r>
        <w:rPr>
          <w:rFonts w:ascii="Arial;sans-serif" w:hAnsi="Arial;sans-serif"/>
          <w:b w:val="false"/>
          <w:color w:val="000000"/>
          <w:sz w:val="20"/>
        </w:rPr>
        <w:t>al to us as a whole.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We register our brand names and product names, taglines and logos in the United States to the extent we determine appropriate and cost-effective. As of January 31, 2025, we had a total of 23 registered trademarks in the United States and 74 registered trademarks in non-U.S. jurisdictions, as well as certain pending trademark applications. As of January 31, 2025, we had also registered a total of 15 cop</w:t>
      </w:r>
      <w:r>
        <w:rPr>
          <w:rFonts w:ascii="Arial;sans-serif" w:hAnsi="Arial;sans-serif"/>
          <w:b w:val="false"/>
          <w:color w:val="000000"/>
          <w:sz w:val="20"/>
        </w:rPr>
        <w:t>yrights. We also register domain names for certain websites that we use in our business, such as www.renttherunway.com, as well as similar variations to protect our brands and marks from cybersquatters.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also place limitations on the use of our proprietary technology and intellectual property through provisions in our terms of service. We intend to adopt additional measures to establish and protect our intellectual property rights to the extent we believe it would be beneficial and cost effective.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Employees and Human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we had a total of 912 full-time employees and 141 part-time employees in the United States and Ireland, the majority of whom are based in our fulfillment centers in New Jersey and Texas. As of January 31, 2025, our technology team consisted of 131 employees, across engineering, data analytics, IT, product, software quality assurance, user experience and design, including a team of 58 in Galway, Ireland, primarily in engineering and data analytics. None of our employees are represented by a labor union or covered by collective bargaining agreements and we have not experienced any work stoppages.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strive to make Rent the Runway an inclusive and safe workplace, with opportunities for our employees to grow and develop in their careers, supported by competitive compensation and benefits programs. Our culture is underpinned by our Core Values, including that we are all Founders of Rent the Runway, and we all Dream BIG and go after it, adapt and learn from everything we do and debating, honest conversations and collaborating make the company stronger.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Corporate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were incorporated as Rent the Runway, Inc. in Delaware on March 3, 2009. We completed our initial public offering (“IPO”) in October 2021. Our Class A common stock trades on The Nasdaq Global Market (“Nasdaq”) under the symbol RENT. Our principal executive offices are located at 10 Jay Street, Brooklyn, New York 11201 and our website address is www.renttherunway.com.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provide free access to various reports that we file with, or furnish to, the United States Securities and Exchange Commission (the “SEC”) through our website, as soon as reasonably practicable after they have been filed or furnished. These reports include, but are not limited to, our annual reports on Form 10-K, quarterly reports on Form 10-Q, current reports on Form 8-K, and any amendments to those reports. Our SEC reports can also be accessed through the SEC's website at www.sec.gov. Also available on our website are printable versions of our Code of Conduct, Corporate Governance Guidelines and charters of the standing committees of our board of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Code of Conduct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Information on our website does not constitute part of this Annual Report on Form 10-K or any other report we file or furnish with the SEC.</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Investing in our Class A common stock involves a high degree of risk. You should consider and read carefully all of the risks and uncertainties described below, as well as other information included in this Annual Report on Form 10-K, including our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Business and Industry</w:t>
      </w:r>
    </w:p>
    <w:p>
      <w:pPr>
        <w:pStyle w:val="TextBody"/>
        <w:bidi w:val="0"/>
        <w:spacing w:lineRule="auto" w:line="288" w:before="240" w:after="283"/>
        <w:jc w:val="left"/>
        <w:rPr/>
      </w:pPr>
      <w:r>
        <w:rPr>
          <w:rFonts w:ascii="Arial;sans-serif" w:hAnsi="Arial;sans-serif"/>
          <w:b/>
          <w:i/>
          <w:color w:val="000000"/>
          <w:sz w:val="20"/>
        </w:rPr>
        <w:t>If we are unable to drive future growth or manage our growth effectively, our brand, Company culture, and financial performance may suffer</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must continue to drive revenue growth to be successful. To effectively drive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w:t>
      </w:r>
      <w:r>
        <w:rPr>
          <w:color w:val="000000"/>
          <w:shd w:fill="FFFFFF" w:val="clear"/>
        </w:rPr>
        <w:t xml:space="preserve"> </w:t>
      </w:r>
      <w:r>
        <w:rPr>
          <w:rFonts w:ascii="Arial;sans-serif" w:hAnsi="Arial;sans-serif"/>
          <w:b w:val="false"/>
          <w:color w:val="000000"/>
          <w:sz w:val="20"/>
          <w:shd w:fill="FFFFFF" w:val="clear"/>
        </w:rPr>
        <w:t xml:space="preserve">Our base subscription plans range in price </w:t>
      </w:r>
      <w:r>
        <w:rPr>
          <w:rFonts w:ascii="Arial;sans-serif" w:hAnsi="Arial;sans-serif"/>
          <w:b w:val="false"/>
          <w:color w:val="000000"/>
          <w:sz w:val="20"/>
        </w:rPr>
        <w:t>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enforce our terms of service or collect data or deliver relevant promotions or media,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w:t>
      </w:r>
      <w:r>
        <w:rPr>
          <w:color w:val="000000"/>
        </w:rPr>
        <w:t xml:space="preserve"> </w:t>
      </w:r>
      <w:r>
        <w:rPr>
          <w:rFonts w:ascii="Arial;sans-serif" w:hAnsi="Arial;sans-serif"/>
          <w:b w:val="false"/>
          <w:color w:val="000000"/>
          <w:sz w:val="20"/>
        </w:rPr>
        <w:t>success and may not grow as much or as fast as we expect. For example, our active subscriber count decreased year over year in fiscal year 2024 and, although we are focused on growth initiatives, may continue to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presently anticipate an increase in our year-over-year revenue growth rate in fiscal year 2025,if our growth and/or growth rates do not meet expectations, the perception of our business, financial condition and results of operations by investors and our third-party service providers and brand partners may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fashion industry is rapidly evolving and our business may not develop as we expect. Overall growth of our revenue will depend on a number of factors, including our ability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traditional consumer buying habits and normalize clothing subscription, rental and resale;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price our Subscription, Reserve and Resale offerings so that we are able to attract new customers, and retain and expand our relationships with existing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ensure that we maintain an adequate depth and breadth of available products to meet customer demand and respond swiftly and appropriately to new and changing styles, trends or desired consumer preferences;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accurately forecast our revenue and plan our fulfillment, operating expenses and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provide customers with a high-quality, seamless user experience and order fulfillment, as well as customer service and support that meets their needs;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acquire customers into varying levels of subscription programs at different price points;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improve our website and app performance and successfully identify and acquire, partner or invest in products, technologies, or businesses that we believe could complement or expand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maintain and grow our relationships with existing and new brand partners, including continuing to maintain and grow our Share by RTR and Exclusive Design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disruptions in acquiring and distributing our products and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effectively manage our customer acquisition funnel to avoid disruption to our Subscription, Reserve, and Resale offerings;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be effective and efficient in our paid marketing;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 and enhance our reputation and the value of our brand;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hire, integrate and retain talented personnel across all levels of our organization;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compete with other companies that are currently in, or may in the future enter, the industry or the markets in which we operate, and respond to developments from these competitors such as pricing changes and the introduction of new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comply with existing and new laws and regulations applicable to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expand into new and penetrate existing geographic markets in the United States;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develop new offerings and innovate and enhance our existing offerings and their features, including in response to new trends, competitive dynamics or the needs of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growth of our business, personnel, and operations, including expanding our shipping and distribution capabilities and fulfillment center operations, as well as our logistics footprint and the number of facilities we operate in the future;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our costs related to our business and operations;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or manage interruptions in our business from information technology downtime, cybersecurity incidents and other factors that could affect our physical and digital infrastructure.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global fashion industry is highly competitive and rapidly changing, and we may not be able to compete effectively.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our ability to compete effectively depends on many factors within and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normalize fashion rental and change traditional retail shopping habits and norms;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differentiated our offerings, customer experience and value proposition are from those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we market and communicate how to use our Subscription, Reserve and Resale offerings and attract and retain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expand and maintain an appealing depth and breadth of our products to meet customer demand and to merchandise it effectively;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price at which we are able to offer our Subscription, Reserve and Resale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diversity, and quality of brands that we or our competitors offer;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acquire products on favorable and efficient terms, including our ability to attract new brand partners and retain existing brand partners in our Share by RTR and Exclusive Design programs;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speed and cost at which we can deliver products to our customers and the ease with which they can return our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effectiveness of our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further developing our data science capabilities for brand partners;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strength of our brand, including maintaining favorable brand recognition and effectively marketing our services and value proposition to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reverse-logistics processes in delivering products in good condition to customers;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anticipating and successfully responding to changing apparel trends and consumer shopping preferences.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inability to respond effectively to competitive pressures, improved performance by our competitors, our failure to achieve broad acceptance and changes in the fashion retail markets could result in lost market share and have a material adverse effect on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We rely on consumer discretionary spending and have been, and may in the future be, adversely affected by economic downturns and other macroeconomic conditions or trends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as a result.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Our continued growth depends on our ability to attract new, and retain existing, customers, which may fluctuate based on our level of investment and success in our organic and paid marketing initiatives</w:t>
      </w:r>
      <w:r>
        <w:rPr>
          <w:rFonts w:ascii="Arial;sans-serif" w:hAnsi="Arial;sans-serif"/>
          <w:b w:val="false"/>
          <w:color w:val="000000"/>
          <w:sz w:val="20"/>
        </w:rPr>
        <w:t>.</w:t>
      </w:r>
      <w:r>
        <w:rPr>
          <w:color w:val="000000"/>
        </w:rPr>
        <w:t xml:space="preserve"> </w:t>
      </w:r>
      <w:r>
        <w:rPr>
          <w:rFonts w:ascii="Arial;sans-serif" w:hAnsi="Arial;sans-serif"/>
          <w:b/>
          <w:i/>
          <w:color w:val="000000"/>
          <w:sz w:val="20"/>
        </w:rPr>
        <w:t>If we are</w:t>
      </w:r>
      <w:r>
        <w:rPr>
          <w:color w:val="000000"/>
        </w:rPr>
        <w:t xml:space="preserve"> </w:t>
      </w:r>
      <w:r>
        <w:rPr>
          <w:rFonts w:ascii="Arial;sans-serif" w:hAnsi="Arial;sans-serif"/>
          <w:b/>
          <w:i/>
          <w:color w:val="000000"/>
          <w:sz w:val="20"/>
        </w:rPr>
        <w:t>unable to cost-effectively grow our customer base, our business, financial condition and results of operations would be harmed</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by improving our email marketing performance, by refreshing our lifecycle marketing engine, by increasing paid marketing efficiency, and by focusing on our search engine ranking for relevant keywords. These efforts are ongoing and, although we have seen some positive results, they are subject to change and may not result in a sustained increase in customer loyalty or higher customer engagement. As a result, our levels of paid and organic growth may continue to fluctuate and/or overall growth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before="12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Paid marketing is a part of our growth strategy and we may determine that significant investment in marketing will be required in the future. However, we reduced our marketing spend, particularly in paid marketing, in fiscal year 2024, which resulted in lower customer acquisitions and revenue.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continued to experience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utilize promotional pricing to attract customers and subscribers who may have heightened price sensitivity and who may not be willing to pay full price for our offering when the promotion period expires. Overall, we reduced promotional pricing for Subscription for fiscal year 2024 versus fiscal year 2023, which we believe negatively impacted subscriber acquisition. Our promotional strategy changes regularly and is subject to experimentation. For example, as part of our recent customer engagement campaign in the first quarter of 2025, we have provided a free membership month to certain high-value lapsed subscribers, who may or may not continue their subscription when their free month expires. We expect that we will continue to adjust our promotional policies in response to our business objectives and market conditions. Our business performance may be adversely impacted if our promotional strategy is not effective at attracting and retaining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pStyle w:val="TextBody"/>
        <w:bidi w:val="0"/>
        <w:spacing w:lineRule="auto" w:line="288" w:before="360" w:after="283"/>
        <w:jc w:val="left"/>
        <w:rPr/>
      </w:pPr>
      <w:r>
        <w:rPr>
          <w:rFonts w:ascii="Arial;sans-serif" w:hAnsi="Arial;sans-serif"/>
          <w:b/>
          <w:i/>
          <w:color w:val="000000"/>
          <w:sz w:val="20"/>
        </w:rPr>
        <w:t>If we fail to retain customers, our business, financial condition, and results of operations would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high proportion of our revenue comes from longer-tenured subscribers. A decrease in the number of customers, their tenures with us, and/or a reduction in the amount customers spend on our offerings could negatively affect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number of customers and the amounts they spend on our offerings may decline materially or fluctuate as a result of many factors, including, among other things: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quality, consumer appeal, price, and reliability of our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dissatisfaction with changes we make to our offerings and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perceived value of our offerings, especially in response to price increases and changes in the macroeconomic environment;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quality control the products delivered to our customers and their fit;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ensuring on-time delivery of orders;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ease with which customers can find items they are looking for, including the effectiveness of our search and discovery tools, merchandising, and rental product availability;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performance of our website and mobile app, including reliability;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level of our investment in marketing and the success of our marketing strategies and tactics, including changes in efficiency of our historic or current customer acquisition methods;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negative customer service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intense competition in the fashion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negative publicity that impacts our brand and reputation;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consumer preferences regarding the use of pre-loved apparel;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lack of market acceptance of our business model;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future outbreak of disease or public health concern, such as COVID-19;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(or perceived failure) to meet different and sometimes conflicting stakeholder expectations regarding our environmental, social and governance (“ESG”), initiatives.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If our customers no longer perceive our subscription plans as appropriately priced and cancel or pause their subscriptions, our business and financial results could be harmed. We are focused on investing in our customer’s experience and delivering even more value to her, including by focusing on approximately doubling our rental product selection in fiscal year 2025 and emphasizing the value proposition of our offering in our marketing materials, among other initiatives; however these or other initiatives to retain customers may not be successful at improving customer satisfaction, subscriber retention and/or revenues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pStyle w:val="TextBody"/>
        <w:bidi w:val="0"/>
        <w:spacing w:lineRule="auto" w:line="288" w:before="240" w:after="283"/>
        <w:jc w:val="left"/>
        <w:rPr/>
      </w:pPr>
      <w:r>
        <w:rPr>
          <w:rFonts w:ascii="Arial;sans-serif" w:hAnsi="Arial;sans-serif"/>
          <w:b/>
          <w:i/>
          <w:color w:val="000000"/>
          <w:sz w:val="20"/>
        </w:rPr>
        <w:t>We have a history of losses, and we may be unable to achieve or sustain profitability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had a net loss of $(69.9) million and $(113.2) million for the years ended January 31, 2025 and 2024, respectively, and have in the past had net losses. As of January 31, 2025, we had an accumulated deficit of $(1,123.0)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We expect fiscal year 2025 to be a year of investment as we plan to significantly increase the amount of new rental product we acquire and, therefore, expect to increase our net losses year-over-year. We may also continue to generate net losses in order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fulfill customer orders and provide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increase the engagement, enhance retention and improve the experience, of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drive customer acquisition and brand awareness through marketing and promotional initiatives;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invest in technology, including to enhance our website and mobile offerings and functionality;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attract, motivate and retain our employees;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develop new offerings;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generally support a larger customer base;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invest in our operations, including our logistics fulfillment, capacity and footprint, and other capital expenditures to support the growth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pStyle w:val="TextBody"/>
        <w:bidi w:val="0"/>
        <w:spacing w:lineRule="auto" w:line="288" w:before="360" w:after="283"/>
        <w:jc w:val="left"/>
        <w:rPr/>
      </w:pPr>
      <w:r>
        <w:rPr>
          <w:rFonts w:ascii="Arial;sans-serif" w:hAnsi="Arial;sans-serif"/>
          <w:b/>
          <w:i/>
          <w:color w:val="000000"/>
          <w:sz w:val="20"/>
        </w:rPr>
        <w:t>If we fail to anticipate and respond successfully to new and changing fashion trends and consumer preferences and accurately forecast consumer demand, our business could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rental product availability, including depth and breadth levels, has negatively impacted active subscriber retention in the past. Although we expect to approximately double the new rental product added to our site year-over-year in fiscal year 2025, we anticipate quarterly fluctuations to occur due to the timing of our purchases, seasonality and other factors within or outside of our control, which may negatively impact customer retention and, therefore, revenue. Any future decreases in our rental product availability levels, including in connection with other business objectives, may negatively impact active subscribers.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pStyle w:val="TextBody"/>
        <w:bidi w:val="0"/>
        <w:spacing w:lineRule="auto" w:line="288" w:before="360" w:after="283"/>
        <w:jc w:val="left"/>
        <w:rPr/>
      </w:pPr>
      <w:r>
        <w:rPr>
          <w:rFonts w:ascii="Arial;sans-serif" w:hAnsi="Arial;sans-serif"/>
          <w:b/>
          <w:i/>
          <w:color w:val="000000"/>
          <w:sz w:val="20"/>
        </w:rPr>
        <w:t>Shipping and logistics are a critical part of our business and our supply chain and any changes or interruptions in shipping or logistics operations could adversely affect our operating results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relying on a single national carrier may impact customer sentiment and satisfaction, which could lead to unanticipated costs and/or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Customers who do not receive their orders in good condition or on time, or perceive our 3-day shipping promise as too slow, often become dissatisfied and even cease using our services, which may adversely affect our business and operating results if the issues become persistent or impact a significant amount of customers.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years, and these costs may increase in the future. In addition, although we have achieved efficiencies in our supply chain operations in recent years, these efficiencies may not be sustainable or meet our broader business 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offering the ability to return products by dropping off items with our primary third-party shipping vendor, we offer at-home pickup for customers located in multiple markets. Although we have had positive customer feedback and adoption to date, at-home pickup is a newer offering and may not be successful over the long-term.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If we are unable to acquire and manage our products effectively and plan for future expenses, our operating results could be adversely affected.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traditionally has sourced the materials and relied upon third-party manufacturing partners to produce products; however, we have updated our Exclusive Designs model and, for fiscal year 2025, certain brands now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If we fail to maintain and enhance our brand, our ability to attract and retain customers will be impaired and our business, financial condition, and results of operations may suffer</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pStyle w:val="TextBody"/>
        <w:bidi w:val="0"/>
        <w:spacing w:lineRule="auto" w:line="288" w:before="360" w:after="283"/>
        <w:jc w:val="left"/>
        <w:rPr/>
      </w:pPr>
      <w:r>
        <w:rPr>
          <w:rFonts w:ascii="Arial;sans-serif" w:hAnsi="Arial;sans-serif"/>
          <w:b/>
          <w:i/>
          <w:color w:val="000000"/>
          <w:sz w:val="20"/>
        </w:rPr>
        <w:t>If we are not able to continue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(such as our AI search tool), augmented reality, machine learning, or robotics or more generally evolving trends in e-commerce. For example, we are continue to focus on improving the performance of our website and mobile application for our customers, including increasing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as we invest in and experiment with new offerings or changes to our platform, our partners and customers may find these changes to be disruptive and may perceive them negatively. For example, in March 2023, we changed our subscription programs to provide customers with one additional item per shipment at no extra charge, which is intended to provide more value to our customers and increase retention. In fiscal year 2025, we plan to approximately double our rental product added on our site. These new offerings and updates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pStyle w:val="TextBody"/>
        <w:bidi w:val="0"/>
        <w:spacing w:lineRule="auto" w:line="288" w:before="360" w:after="283"/>
        <w:jc w:val="left"/>
        <w:rPr/>
      </w:pPr>
      <w:r>
        <w:rPr>
          <w:rFonts w:ascii="Arial;sans-serif" w:hAnsi="Arial;sans-serif"/>
          <w:b/>
          <w:i/>
          <w:color w:val="000000"/>
          <w:sz w:val="20"/>
        </w:rPr>
        <w:t>We rely heavily on the effective operation of our proprietary technology systems and software, as well as those of our third-party vendors and service providers, for our business to</w:t>
      </w:r>
      <w:r>
        <w:rPr>
          <w:color w:val="000000"/>
        </w:rPr>
        <w:t xml:space="preserve"> </w:t>
      </w:r>
      <w:r>
        <w:rPr>
          <w:rFonts w:ascii="Arial;sans-serif" w:hAnsi="Arial;sans-serif"/>
          <w:b/>
          <w:i/>
          <w:color w:val="000000"/>
          <w:sz w:val="20"/>
        </w:rPr>
        <w:t>effectively operate and to safeguard confidential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and financial systems,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pStyle w:val="TextBody"/>
        <w:bidi w:val="0"/>
        <w:spacing w:lineRule="auto" w:line="288" w:before="360" w:after="283"/>
        <w:jc w:val="left"/>
        <w:rPr/>
      </w:pPr>
      <w:r>
        <w:rPr>
          <w:rFonts w:ascii="Arial;sans-serif" w:hAnsi="Arial;sans-serif"/>
          <w:b/>
          <w:i/>
          <w:color w:val="000000"/>
          <w:sz w:val="20"/>
        </w:rPr>
        <w:t>Any significant technology disruption or failure, cyberattack or data security incident could adversely affect our business, financial condition and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e-commerce business faces distinct risks, such as fulfillment of orders, and our failure to successfully manage these risks could have a negative impact on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Risks associated with our e-commerce business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provide a delightful and effective search and discovery experience for our customers;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failure to successfully execute planned enhancements to our website and mobile application performance to improve site speed and reliability in order to keep pace with industry standards and meet customer expectations;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in internet service or power outages;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reliance on third parties for computer hardware and software, as well as delivery of products to our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rapid technology changes;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credit or debit card fraud and other payment processing related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applicable federal, state and international regulations;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claims related to our e-commerce operations and fulfillment, including liability for online content;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cybersecurity, consumer privacy and consumer protection concerns and regulation;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natural disasters or adverse weather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pStyle w:val="TextBody"/>
        <w:bidi w:val="0"/>
        <w:spacing w:lineRule="auto" w:line="288" w:before="360" w:after="283"/>
        <w:jc w:val="left"/>
        <w:rPr/>
      </w:pPr>
      <w:r>
        <w:rPr>
          <w:rFonts w:ascii="Arial;sans-serif" w:hAnsi="Arial;sans-serif"/>
          <w:b/>
          <w:i/>
          <w:color w:val="000000"/>
          <w:sz w:val="20"/>
        </w:rPr>
        <w:t>Our quarterly and annual results of operations may fluctuate, which may make it difficult to predict our future performance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Annual Report, factors that may contribute to the variability of our quarterly and annual results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success in attracting and retaining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maintaining successful relationships with brand partners and our ability to acquire products at acceptable prices and offer a compelling mix of products that are available for Subscription, Reserve or Resale at any given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and timing of our fulfillment costs,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timing and success of product launches, including pricing changes, new services and features we may introduce;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marketing and promotional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adverse economic and market conditions and other adverse global events that negatively impact commerce and consumer behavior and that could lead to inflationary pressures and supply chain disruptions;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or defects in our software or operations, such as privacy or data security incidents, outages, or other incidents that impact the availability, reliability, or performance of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competitive developments and our response to those developments;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manage our business and future growth;</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recruit and retain employees including fulfillment center labor to process, itemize, list, pack and ship our products;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seasonality of our business;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face risks arising from the restructuring of our operations, which could adversely affect our financial condition, results of operations, cash flows, or business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taken and plan to continue to take actions intended to further reduce our cost structure.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to achieve targeted cost savings and efficiency, and growth, cash flow and profitability goals;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decrease in employee morale, a negative impact to our corporate culture, and heightened regrettable attrition, including by critical employees, each of which we’ve observed to some extent and are focused on addressing;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increase in employment claims;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perceived disruption of service or reduction in service standards to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loss of institutional knowledge and/or employee expertise, which could lead to inefficiencies or business disruptions, some of which may be significant and our efforts to address may not be successful;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delay or failure to meet our operational standards, needs, or goals due to fewer employees, including potential single points of failure, or due to reduced or reallocated resources generally.</w:t>
      </w:r>
    </w:p>
    <w:p>
      <w:pPr>
        <w:pStyle w:val="TextBody"/>
        <w:bidi w:val="0"/>
        <w:spacing w:before="12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Scrutiny and evolving expectations from consumers, investors, regulators, policymakers, employees and other stakeholders regarding environmental, social and governance matters may adversely impact our business and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has been heightened and sometimes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rely on the experience and expertise of our Co-Founder and Chief Executive Officer, senior management team, key technical and strategic employees and hourly personnel.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success and future growth depend largely upon the continued services of our senior management team, including our Co-Founder, Chief Executive Officer, President and Chair,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Although we have implemented different types of programs with a goal of incentivizing our employees, such as a stock option exchange in 2023 and a Transaction Bonus Plan in 2024 that is intended to incentivize performance of key executives and encourage the realization of a qualifying transaction (as defined in the plan), 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continued to shift to a more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experienced in the past, and may in the future experience, voluntary attrition at significant rates for various reasons, including challenges with employee morale, perception of our business and financial condition, challenging labor market conditions such as rising 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believe that our Company culture has contributed to our success and if we cannot maintain this culture as we grow, our business could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failure to maintain and/or improve employee morale and engagement for a variety of reasons, including, but not limited to, our office-centric approach in our New York City headquarters, our prior restructurings, the perception of our business and financial condition, and our continued efforts to ensure a cost-conscious and efficient workforce that supports our growth and profitability goals;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to identify, attract, reward, and retain employees who share and further our culture, values, and mission;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evolving size, complexity and geographic diversity of our workforce, and our ability to promote a uniform and consistent culture across all our offices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employee and market perception of our ESG efforts, which may impact employee morale and recruiting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hybrid working model for employees in Galway and the remote working model for customer service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continued challenges of a rapidly-evolving industry;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increasing need to develop expertise in new areas of business that affect us.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120"/>
        <w:jc w:val="left"/>
        <w:rPr>
          <w:rFonts w:ascii="Arial;sans-serif" w:hAnsi="Arial;sans-serif"/>
          <w:b/>
          <w:i/>
          <w:color w:val="000000"/>
          <w:sz w:val="20"/>
        </w:rPr>
      </w:pPr>
      <w:r>
        <w:rPr>
          <w:rFonts w:ascii="Arial;sans-serif" w:hAnsi="Arial;sans-serif"/>
          <w:b/>
          <w:i/>
          <w:color w:val="000000"/>
          <w:sz w:val="20"/>
        </w:rPr>
        <w:t>Material changes in the pricing practices of our brand and manufacturing partners and/or the costs of raw materials could negatively impact our profitability.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 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 between the United States and other countries with respect to global trade policies, tariffs and treatises. The United States has imposed significant new tariffs on China related to the importation of certain product categories, and other countries may change their business and trade policies in anticipation of or in response to the United States’s increased import tariffs and other changes in U.S. trade policies already enacted or that may be enacted in the future. In addition to the general uncertainty and overall risk from changes in global trade policies, tariffs and treatises, as we make business decisions in the face of such uncertainty, we may incorrectly anticipate the outcomes, miss out on business opportunities, or fail to effectively adapt our business strategies and manage the adjustments that are necessary in response to such changes. Any of these developments, or the perception regarding such developments, could increase the costs associated with procuring our rental products, negatively impact our brand partners’ business operations which could in turn negatively impact us, reduce the supply of materials used in the design and manufacture of our rental products; and negatively impact customer demand for our products, any of which could have a material adverse effect on our business, financial condition and results of operation.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disruptions in the supply chain as a result of the COVID-19 pandemic and the recent inflationary environment have increased raw material costs, impacted pricing of our products, and caused shipping delays for certain of our products.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affected by seasonality.</w:t>
      </w:r>
    </w:p>
    <w:p>
      <w:pPr>
        <w:pStyle w:val="TextBody"/>
        <w:bidi w:val="0"/>
        <w:spacing w:lineRule="auto" w:line="288" w:before="120" w:after="283"/>
        <w:jc w:val="left"/>
        <w:rPr/>
      </w:pPr>
      <w:r>
        <w:rPr>
          <w:rFonts w:ascii="Arial;sans-serif" w:hAnsi="Arial;sans-serif"/>
          <w:b w:val="false"/>
          <w:color w:val="000000"/>
          <w:sz w:val="20"/>
        </w:rPr>
        <w:t xml:space="preserve">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w:t>
      </w:r>
      <w:r>
        <w:rPr>
          <w:rFonts w:ascii="Arial;sans-serif" w:hAnsi="Arial;sans-serif"/>
          <w:b w:val="false"/>
          <w:color w:val="000000"/>
          <w:sz w:val="20"/>
          <w:shd w:fill="FFFFFF" w:val="clear"/>
        </w:rPr>
        <w:t>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w:t>
      </w:r>
      <w:r>
        <w:rPr>
          <w:rFonts w:ascii="Arial;sans-serif" w:hAnsi="Arial;sans-serif"/>
          <w:b w:val="false"/>
          <w:color w:val="000000"/>
          <w:sz w:val="20"/>
        </w:rPr>
        <w:t>omic conditions, could have a disproportionate effect on our results of operations for our entire fiscal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require additional capital to support the growth of our business and satisfy our debt obligations, and this capital might not be available on acceptable terms, if at all.</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120"/>
        <w:jc w:val="left"/>
        <w:rPr/>
      </w:pPr>
      <w:r>
        <w:rPr>
          <w:rFonts w:ascii="Arial;sans-serif" w:hAnsi="Arial;sans-serif"/>
          <w:b/>
          <w:i/>
          <w:color w:val="000000"/>
          <w:sz w:val="20"/>
        </w:rPr>
        <w:t>Our level of indebtedness could have a material adverse effect on our ability to generate sufficient cash to fulfill our obligations under such indebtedness, to react to changes in our</w:t>
      </w:r>
      <w:r>
        <w:rPr>
          <w:color w:val="000000"/>
        </w:rPr>
        <w:t xml:space="preserve"> </w:t>
      </w:r>
      <w:r>
        <w:rPr>
          <w:rFonts w:ascii="Arial;sans-serif" w:hAnsi="Arial;sans-serif"/>
          <w:b/>
          <w:i/>
          <w:color w:val="000000"/>
          <w:sz w:val="20"/>
        </w:rPr>
        <w:t>business and to incur additional indebtedness to fund future needs.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of January 31, 2025, we had $333.7 million aggregate principal amount of borrowings under a credit facility with CHS (US) Management LLC (as successor in interest to Double Helix Pte Ltd. as administrative agent for Temasek Holdings (as subsequently amended, the “2023 Amended Temasek Facility”).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 The 2025 Amended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8 —Long-Term Debt” in the Notes to Consolidated Financial Statements for more information on our indebtedness.</w:t>
      </w:r>
    </w:p>
    <w:p>
      <w:pPr>
        <w:pStyle w:val="TextBody"/>
        <w:bidi w:val="0"/>
        <w:spacing w:lineRule="auto" w:line="288" w:before="360" w:after="120"/>
        <w:jc w:val="left"/>
        <w:rPr>
          <w:rFonts w:ascii="Arial;sans-serif" w:hAnsi="Arial;sans-serif"/>
          <w:b/>
          <w:i/>
          <w:color w:val="000000"/>
          <w:sz w:val="20"/>
        </w:rPr>
      </w:pPr>
      <w:r>
        <w:rPr>
          <w:rFonts w:ascii="Arial;sans-serif" w:hAnsi="Arial;sans-serif"/>
          <w:b/>
          <w:i/>
          <w:color w:val="000000"/>
          <w:sz w:val="20"/>
        </w:rPr>
        <w:t>Our 2025 Amended Facility contains financial covenants and other restrictions on our actions that may limit our operational flexibility or otherwise adversely affect our business, financial condition and results of operations.</w:t>
      </w:r>
    </w:p>
    <w:p>
      <w:pPr>
        <w:pStyle w:val="TextBody"/>
        <w:bidi w:val="0"/>
        <w:spacing w:lineRule="auto" w:line="268" w:before="0" w:after="0"/>
        <w:jc w:val="left"/>
        <w:rPr/>
      </w:pPr>
      <w:r>
        <w:rPr>
          <w:rFonts w:ascii="Arial;sans-serif" w:hAnsi="Arial;sans-serif"/>
          <w:b w:val="false"/>
          <w:color w:val="000000"/>
          <w:sz w:val="20"/>
        </w:rPr>
        <w:t>The terms of our 2025 Amended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w:t>
      </w:r>
      <w:r>
        <w:rPr>
          <w:rFonts w:ascii="Arial;sans-serif" w:hAnsi="Arial;sans-serif"/>
          <w:b w:val="false"/>
          <w:color w:val="000000"/>
          <w:sz w:val="20"/>
          <w:shd w:fill="FFFFFF" w:val="clear"/>
        </w:rPr>
        <w:t xml:space="preserve">dditionally, the 2025 Amended Facility includes a minimum liquidity maintenance covenant of $30 million </w:t>
      </w:r>
      <w:r>
        <w:rPr>
          <w:rFonts w:ascii="Arial;sans-serif" w:hAnsi="Arial;sans-serif"/>
          <w:b w:val="false"/>
          <w:color w:val="000000"/>
          <w:sz w:val="20"/>
        </w:rPr>
        <w:t>and provides that we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w:t>
      </w:r>
      <w:r>
        <w:rPr>
          <w:rFonts w:ascii="Arial;sans-serif" w:hAnsi="Arial;sans-serif"/>
          <w:b w:val="false"/>
          <w:color w:val="000000"/>
          <w:sz w:val="20"/>
          <w:shd w:fill="FFFFFF" w:val="clear"/>
        </w:rPr>
        <w:t xml:space="preserve">. Under the terms of the 2025 Amended Facility, the deadline to finalize the expenditure levels for fiscal year 2025 was extended from March 31, 2025 to May 30, 2025. These and other restrictions </w:t>
      </w:r>
      <w:r>
        <w:rPr>
          <w:rFonts w:ascii="Arial;sans-serif" w:hAnsi="Arial;sans-serif"/>
          <w:b w:val="false"/>
          <w:color w:val="000000"/>
          <w:sz w:val="20"/>
        </w:rPr>
        <w:t>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failure by us to comply with the covenants specified in the 2025 Amended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identified material weaknesses in our internal control over financial reporting, as described below. As of January 31, 2025,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pStyle w:val="TextBody"/>
        <w:bidi w:val="0"/>
        <w:spacing w:lineRule="auto" w:line="288" w:before="360" w:after="283"/>
        <w:jc w:val="left"/>
        <w:rPr/>
      </w:pPr>
      <w:r>
        <w:rPr>
          <w:rFonts w:ascii="Arial;sans-serif" w:hAnsi="Arial;sans-serif"/>
          <w:b/>
          <w:i/>
          <w:color w:val="000000"/>
          <w:sz w:val="20"/>
        </w:rPr>
        <w:t>The requirements of being a public company may strain our resources, divert management’s attention, and affect our ability to attract and retain executive management and qualified board members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pStyle w:val="TextBody"/>
        <w:bidi w:val="0"/>
        <w:spacing w:lineRule="auto" w:line="288" w:before="360" w:after="283"/>
        <w:jc w:val="left"/>
        <w:rPr/>
      </w:pPr>
      <w:r>
        <w:rPr>
          <w:rFonts w:ascii="Arial;sans-serif" w:hAnsi="Arial;sans-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360" w:after="283"/>
        <w:jc w:val="left"/>
        <w:rPr/>
      </w:pPr>
      <w:r>
        <w:rPr>
          <w:rFonts w:ascii="Arial;sans-serif" w:hAnsi="Arial;sans-serif"/>
          <w:b/>
          <w:i/>
          <w:color w:val="000000"/>
          <w:sz w:val="20"/>
        </w:rPr>
        <w:t>Strategic investments, partnerships, alliances, or acquisitions could be difficult to identify, pose integration challenges, divert the attention of management, disrupt our business, dilute</w:t>
      </w:r>
      <w:r>
        <w:rPr>
          <w:color w:val="000000"/>
        </w:rPr>
        <w:t xml:space="preserve"> </w:t>
      </w:r>
      <w:r>
        <w:rPr>
          <w:rFonts w:ascii="Arial;sans-serif" w:hAnsi="Arial;sans-serif"/>
          <w:b/>
          <w:i/>
          <w:color w:val="000000"/>
          <w:sz w:val="20"/>
        </w:rPr>
        <w:t>stockholder value, and adversely affect our business, financial condition, and results of operations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partnership or acquisition may disrupt our ongoing business, divert resources, increase our expenses, and distract our management;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we may encounter difficulties or unforeseen expenditures in integrating the business, offerings, technologies, personnel, or operations of any company that we partner with or acquire;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pStyle w:val="TextBody"/>
        <w:bidi w:val="0"/>
        <w:spacing w:lineRule="auto" w:line="288" w:before="120" w:after="283"/>
        <w:jc w:val="left"/>
        <w:rPr/>
      </w:pPr>
      <w:r>
        <w:rPr>
          <w:rFonts w:ascii="Arial;sans-serif" w:hAnsi="Arial;sans-serif"/>
          <w:b w:val="false"/>
          <w:color w:val="000000"/>
          <w:sz w:val="20"/>
        </w:rPr>
        <w:t xml:space="preserve">We are an “emerging growth company,” as defined in the </w:t>
      </w:r>
      <w:r>
        <w:rPr>
          <w:rFonts w:ascii="Arial;sans-serif" w:hAnsi="Arial;sans-serif"/>
          <w:b w:val="false"/>
          <w:color w:val="000000"/>
          <w:sz w:val="20"/>
          <w:shd w:fill="FFFFFF" w:val="clear"/>
        </w:rPr>
        <w:t>Jumpstart Our Business Startups Act of 2012 (“</w:t>
      </w:r>
      <w:r>
        <w:rPr>
          <w:rFonts w:ascii="Arial;sans-serif" w:hAnsi="Arial;sans-serif"/>
          <w:b w:val="false"/>
          <w:color w:val="000000"/>
          <w:sz w:val="20"/>
        </w:rPr>
        <w:t>JOBS Act”), and we may take advantage of certain exemptions from reporting requirements that are applicable to other public companies that are not “emerging growth companies,”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auditor attestation requirements of Section 404;</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reduced disclosure obligations regarding executive compensation in our periodic reports and proxy statements;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exemptions from the requirements of holding a non-binding advisory stockholder vote on executive compensation and non-binding advisory stockholder vote to approve any golden parachute payments not previously approved.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earliest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fiscal year following the fifth anniversary of our IPO;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first fiscal year in which our annual gross revenue is $1.235 billion or more;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on which we have, during the previous rolling three-year period, issued more than $1 billion in non-convertible debt securities;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we qualify as a “large accelerated filer,” with at least $700 million of equity securities held by non-affiliates.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pStyle w:val="TextBody"/>
        <w:bidi w:val="0"/>
        <w:spacing w:lineRule="auto" w:line="288" w:before="360" w:after="283"/>
        <w:jc w:val="left"/>
        <w:rPr/>
      </w:pPr>
      <w:r>
        <w:rPr>
          <w:rFonts w:ascii="Arial;sans-serif" w:hAnsi="Arial;sans-serif"/>
          <w:b/>
          <w:i/>
          <w:color w:val="000000"/>
          <w:sz w:val="20"/>
        </w:rPr>
        <w:t>The COVID-19 pandemic had a material adverse impact on our business</w:t>
      </w:r>
      <w:r>
        <w:rPr>
          <w:rFonts w:ascii="Arial;sans-serif" w:hAnsi="Arial;sans-serif"/>
          <w:b w:val="false"/>
          <w:color w:val="000000"/>
          <w:sz w:val="20"/>
        </w:rPr>
        <w:t xml:space="preserve">. </w:t>
      </w:r>
      <w:r>
        <w:rPr>
          <w:rFonts w:ascii="Arial;sans-serif" w:hAnsi="Arial;sans-serif"/>
          <w:b/>
          <w:i/>
          <w:color w:val="000000"/>
          <w:sz w:val="20"/>
        </w:rPr>
        <w:t>Other future pandemics or public health crises may have a similar adverse impact on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 </w:t>
      </w:r>
    </w:p>
    <w:p>
      <w:pPr>
        <w:pStyle w:val="TextBody"/>
        <w:bidi w:val="0"/>
        <w:spacing w:lineRule="auto" w:line="288" w:before="360" w:after="283"/>
        <w:jc w:val="left"/>
        <w:rPr/>
      </w:pPr>
      <w:r>
        <w:rPr>
          <w:rFonts w:ascii="Arial;sans-serif" w:hAnsi="Arial;sans-serif"/>
          <w:b/>
          <w:i/>
          <w:color w:val="000000"/>
          <w:sz w:val="20"/>
        </w:rPr>
        <w:t>Our reported financial results may be adversely affected by changes in accounting principles generally accepted in the United States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If our estimates or judgments relating to our critical accounting policies prove to be incorrect, our results of operations could be adversely affected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The preparation of financial statements in conformity with GAAP requires management to make estimates and assumptions that affect the amounts reported in our consolidated financial statements and accompanying notes appearing elsewhere in this Annual</w:t>
      </w:r>
      <w:r>
        <w:rPr>
          <w:color w:val="000000"/>
          <w:shd w:fill="FFFFFF" w:val="clear"/>
        </w:rPr>
        <w:t xml:space="preserve"> </w:t>
      </w:r>
      <w:r>
        <w:rPr>
          <w:rFonts w:ascii="Arial;sans-serif" w:hAnsi="Arial;sans-serif"/>
          <w:b w:val="false"/>
          <w:color w:val="000000"/>
          <w:sz w:val="20"/>
          <w:shd w:fill="FFFFFF" w:val="clear"/>
        </w:rPr>
        <w:t>Report</w:t>
      </w:r>
      <w:r>
        <w:rPr>
          <w:rFonts w:ascii="Arial;sans-serif" w:hAnsi="Arial;sans-serif"/>
          <w:b w:val="false"/>
          <w:color w:val="000000"/>
          <w:sz w:val="20"/>
        </w:rPr>
        <w:t xml:space="preserve">.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w:t>
      </w:r>
      <w:r>
        <w:rPr>
          <w:rFonts w:ascii="Arial;sans-serif" w:hAnsi="Arial;sans-serif"/>
          <w:b w:val="false"/>
          <w:color w:val="000000"/>
          <w:sz w:val="20"/>
          <w:shd w:fill="FFFFFF" w:val="clear"/>
        </w:rPr>
        <w:t>the useful life and salvage value of rental product, incremental borrowing rate to determine lease liabilities and right-of-use assets, valuation of share-based compensation and warrants, and recoverability of long-lived assets.</w:t>
      </w:r>
      <w:r>
        <w:rPr>
          <w:color w:val="000000"/>
        </w:rPr>
        <w:t xml:space="preserve"> </w:t>
      </w:r>
      <w:r>
        <w:rPr>
          <w:rFonts w:ascii="Arial;sans-serif" w:hAnsi="Arial;sans-serif"/>
          <w:b w:val="false"/>
          <w:color w:val="000000"/>
          <w:sz w:val="20"/>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pStyle w:val="TextBody"/>
        <w:bidi w:val="0"/>
        <w:spacing w:lineRule="auto" w:line="288" w:before="120" w:after="283"/>
        <w:jc w:val="left"/>
        <w:rPr/>
      </w:pPr>
      <w:r>
        <w:rPr>
          <w:rFonts w:ascii="Arial;sans-serif" w:hAnsi="Arial;sans-serif"/>
          <w:b w:val="false"/>
          <w:color w:val="000000"/>
          <w:sz w:val="20"/>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Annual</w:t>
      </w:r>
      <w:r>
        <w:rPr>
          <w:color w:val="000000"/>
          <w:shd w:fill="FFFFFF" w:val="clear"/>
        </w:rPr>
        <w:t xml:space="preserve"> </w:t>
      </w:r>
      <w:r>
        <w:rPr>
          <w:rFonts w:ascii="Arial;sans-serif" w:hAnsi="Arial;sans-serif"/>
          <w:b w:val="false"/>
          <w:color w:val="000000"/>
          <w:sz w:val="20"/>
          <w:shd w:fill="FFFFFF" w:val="clear"/>
        </w:rPr>
        <w:t>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Expansion of our operations internationally requires management attention and resources, involves additional risks, and may be unsuccessful.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lower acceptance of our offerings and the concept of renting apparel and accessories and the need to localize our products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competition from local incumbents that understand the local market and may operate more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regulatory requirements, taxes, trade laws, trade sanctions and economic embargoes, tariffs, export quotas, custom duties, or other trade restrictions, or any unexpected changes thereto;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risks resulting from changes in currency exchange rates.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invest substantial time and resources to establish and expand our operations internationally and are unable to do so successfully and in a timely manner, our operating results would suffer.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Legal and Regulatory Environment</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business is subject to a large number of U.S. and non-U.S. laws and regulations, many of which are evolving, and failure to comply could potentially impact our operating and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pStyle w:val="TextBody"/>
        <w:bidi w:val="0"/>
        <w:spacing w:lineRule="auto" w:line="288" w:before="360" w:after="283"/>
        <w:jc w:val="left"/>
        <w:rPr/>
      </w:pPr>
      <w:r>
        <w:rPr>
          <w:rFonts w:ascii="Arial;sans-serif" w:hAnsi="Arial;sans-serif"/>
          <w:b/>
          <w:i/>
          <w:color w:val="000000"/>
          <w:sz w:val="20"/>
        </w:rPr>
        <w:t>We are subject to U.S. and certain foreign export and import controls, sanctions, embargoes, anti-corruption laws, and anti-money laundering laws and regulations. Compliance</w:t>
      </w:r>
      <w:r>
        <w:rPr>
          <w:color w:val="000000"/>
        </w:rPr>
        <w:t xml:space="preserve"> </w:t>
      </w:r>
      <w:r>
        <w:rPr>
          <w:rFonts w:ascii="Arial;sans-serif" w:hAnsi="Arial;sans-serif"/>
          <w:b/>
          <w:i/>
          <w:color w:val="000000"/>
          <w:sz w:val="20"/>
        </w:rPr>
        <w:t>with these</w:t>
      </w:r>
      <w:r>
        <w:rPr>
          <w:color w:val="000000"/>
        </w:rPr>
        <w:t xml:space="preserve"> </w:t>
      </w:r>
      <w:r>
        <w:rPr>
          <w:rFonts w:ascii="Arial;sans-serif" w:hAnsi="Arial;sans-serif"/>
          <w:b/>
          <w:i/>
          <w:color w:val="000000"/>
          <w:sz w:val="20"/>
        </w:rPr>
        <w:t>legal standards could impair our ability to compete in domestic and international markets, and we could face criminal liability and other serious consequences for violations, which could harm our business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From time to time, we may be subject to claims, legal proceedings, regulatory disputes, and governmental inquiries that could cause us to incur significant expenses, divert our</w:t>
      </w:r>
      <w:r>
        <w:rPr>
          <w:color w:val="000000"/>
        </w:rPr>
        <w:t xml:space="preserve"> </w:t>
      </w:r>
      <w:r>
        <w:rPr>
          <w:rFonts w:ascii="Arial;sans-serif" w:hAnsi="Arial;sans-serif"/>
          <w:b/>
          <w:i/>
          <w:color w:val="000000"/>
          <w:sz w:val="20"/>
        </w:rPr>
        <w:t>management’s attention, and materially harm our business, financial condition, and operating results</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15, “Commitments and Contingencies” </w:t>
      </w:r>
      <w:r>
        <w:rPr>
          <w:rFonts w:ascii="Arial;sans-serif" w:hAnsi="Arial;sans-serif"/>
          <w:b w:val="false"/>
          <w:color w:val="000000"/>
          <w:sz w:val="20"/>
          <w:shd w:fill="FFFFFF" w:val="clear"/>
        </w:rPr>
        <w:t>in the Notes to the Consolidated Financial Statements</w:t>
      </w:r>
      <w:r>
        <w:rPr>
          <w:color w:val="000000"/>
          <w:shd w:fill="FFFFFF" w:val="clear"/>
        </w:rPr>
        <w:t xml:space="preserve"> </w:t>
      </w:r>
      <w:r>
        <w:rPr>
          <w:rFonts w:ascii="Arial;sans-serif" w:hAnsi="Arial;sans-serif"/>
          <w:b w:val="false"/>
          <w:color w:val="000000"/>
          <w:sz w:val="20"/>
        </w:rPr>
        <w:t>for more details about the class action and other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Failure to adequately obtain, maintain, protect and enforce our intellectual property and proprietary rights could harm our brand, devalue our proprietary content, and adversely affect our ability to compete effectively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Arial;sans-serif" w:hAnsi="Arial;sans-serif"/>
          <w:b w:val="false"/>
          <w:color w:val="000000"/>
          <w:sz w:val="20"/>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w:t>
      </w:r>
      <w:r>
        <w:rPr>
          <w:color w:val="000000"/>
        </w:rPr>
        <w:t xml:space="preserve"> </w:t>
      </w:r>
      <w:r>
        <w:rPr>
          <w:rFonts w:ascii="Arial;sans-serif" w:hAnsi="Arial;sans-serif"/>
          <w:b w:val="false"/>
          <w:i/>
          <w:color w:val="000000"/>
          <w:sz w:val="20"/>
        </w:rPr>
        <w:t xml:space="preserve">inter partes </w:t>
      </w:r>
      <w:r>
        <w:rPr>
          <w:rFonts w:ascii="Arial;sans-serif" w:hAnsi="Arial;sans-serif"/>
          <w:b w:val="false"/>
          <w:color w:val="000000"/>
          <w:sz w:val="20"/>
        </w:rPr>
        <w:t>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Third parties may assert claims against us alleging that we infringe upon, misappropriate, dilute or otherwise violate their intellectual property rights. In addition, we may be subject to claims of infringement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third parties have sent us cease and desist letters in connection with our use of marketing and advertising assets,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pStyle w:val="TextBody"/>
        <w:bidi w:val="0"/>
        <w:spacing w:lineRule="auto" w:line="288" w:before="120" w:after="283"/>
        <w:jc w:val="left"/>
        <w:rPr/>
      </w:pPr>
      <w:r>
        <w:rPr>
          <w:rFonts w:ascii="Arial;sans-serif" w:hAnsi="Arial;sans-serif"/>
          <w:b/>
          <w:i/>
          <w:color w:val="000000"/>
          <w:sz w:val="20"/>
        </w:rPr>
        <w:t>Our use of third-party open-source software could adversely affect our ability to offer our products</w:t>
      </w:r>
      <w:r>
        <w:rPr>
          <w:color w:val="000000"/>
        </w:rPr>
        <w:t xml:space="preserve"> </w:t>
      </w:r>
      <w:r>
        <w:rPr>
          <w:rFonts w:ascii="Arial;sans-serif" w:hAnsi="Arial;sans-serif"/>
          <w:b/>
          <w:i/>
          <w:color w:val="000000"/>
          <w:sz w:val="20"/>
        </w:rPr>
        <w:t>and offerings and subjects us to possible litigation</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We are subject to rapidly changing and increasingly stringent laws, industry standards and consumer expectations relating to data privacy, data security, data protection, and consumer protection</w:t>
      </w:r>
      <w:r>
        <w:rPr>
          <w:rFonts w:ascii="Arial;sans-serif" w:hAnsi="Arial;sans-serif"/>
          <w:b/>
          <w:color w:val="000000"/>
          <w:sz w:val="20"/>
        </w:rPr>
        <w:t xml:space="preserve">. </w:t>
      </w:r>
      <w:r>
        <w:rPr>
          <w:rFonts w:ascii="Arial;sans-serif" w:hAnsi="Arial;sans-serif"/>
          <w:b/>
          <w:i/>
          <w:color w:val="000000"/>
          <w:sz w:val="20"/>
        </w:rPr>
        <w:t>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may not uphold their legal, regulatory or contractual obligations to comply with these data privacy, data security, data protection, or artificial intelligence requirements, thereby exposing us to risks in these areas.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pStyle w:val="TextBody"/>
        <w:bidi w:val="0"/>
        <w:spacing w:lineRule="auto" w:line="288" w:before="360" w:after="283"/>
        <w:jc w:val="left"/>
        <w:rPr/>
      </w:pPr>
      <w:r>
        <w:rPr>
          <w:rFonts w:ascii="Arial;sans-serif" w:hAnsi="Arial;sans-serif"/>
          <w:b/>
          <w:i/>
          <w:color w:val="000000"/>
          <w:sz w:val="20"/>
        </w:rPr>
        <w:t>We could incur significant liabilities related to, and significant costs in complying with, environmental, health and safety laws and regulations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These laws and regulations are complex and evolving. Despite our efforts, we may be subject to claims that we have violated such laws and regulations based on past, present, and future practices, which could have an adverse impact on our business and reputation, and be costly for us to defend. For example, from time to time, we have reviewed and resolved immaterial permitting issues and compliance notices related to our warehouse operations; however, we cannot guarantee that future matters will continue to be immaterial. Failure to comply with such laws and regulations, which tend to become more stringent over time or failure to obtain or maintain permits necessary for our warehouse operations could,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 Liability for the improper release or disposal of waste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pStyle w:val="TextBody"/>
        <w:bidi w:val="0"/>
        <w:spacing w:lineRule="auto" w:line="288" w:before="360" w:after="283"/>
        <w:jc w:val="left"/>
        <w:rPr/>
      </w:pPr>
      <w:r>
        <w:rPr>
          <w:rFonts w:ascii="Arial;sans-serif" w:hAnsi="Arial;sans-serif"/>
          <w:b/>
          <w:i/>
          <w:color w:val="000000"/>
          <w:sz w:val="20"/>
        </w:rPr>
        <w:t>Our ability to utilize our net operating loss carryforwards and certain other tax attributes to offset taxable income or taxes may be limited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As of January 31, 2025, we had federal net operating loss carryforwards of $654.4 million, $152.1 million of which will expire at various times through 2038. Furthermore, we had state net operating loss carryforwards of $633.2 million, which will expire at various times through 2045. Portions of these net operating loss carryforwards could expire unused and be unavail</w:t>
      </w:r>
      <w:r>
        <w:rPr>
          <w:rFonts w:ascii="Arial;sans-serif" w:hAnsi="Arial;sans-serif"/>
          <w:b w:val="false"/>
          <w:color w:val="000000"/>
          <w:sz w:val="20"/>
          <w:shd w:fill="FFFFFF" w:val="clear"/>
        </w:rPr>
        <w:t>able to offset future income tax liabilitie</w:t>
      </w:r>
      <w:r>
        <w:rPr>
          <w:rFonts w:ascii="Arial;sans-serif" w:hAnsi="Arial;sans-serif"/>
          <w:b w:val="false"/>
          <w:color w:val="000000"/>
          <w:sz w:val="20"/>
        </w:rPr>
        <w:t>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In 2024, we completed an update to the prior Section 382 analysis covering the period beginning April 2021 through January 2025. From the study, we concluded we did not experience an ownership change during the analysis period. Although we believe the Section 382 analyses are accurate, any errors in the analyses could impact our conclusions and ability to utilize our NOLs effectively. We may have experienced since January 2025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Changes in our effective tax rate or tax liability may have an adverse effect on our results of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and other taxes in the United States on a federal and state basis, as well as subject to taxation in Ireland. Our effective tax rate or tax liability could be adversely affected due to several factors,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United States or foreign tax laws, tax treaties, and regulations or their interpretation;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outcome of current and future tax audits, examinations, or administrative appeals;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limitations or adverse findings regarding our ability to do business in some jurisdictions.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Dependence on Third Parties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We face risks associated with brand and manufacturing partners from whom our products are sourced or co-manufactured.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discontinue selling products to us or manufacturing our Exclusive Designs;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enter into arrangements with competitors that could impair our ability to source their products, including by giving our competitors exclusivity arrangements or limiting our access to certain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raise the prices they charge us;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are not satisfied with the value proposition we offer them;</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view our brand or financial profile favorably;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pricing terms to require us to pay a significant portion of the cost of items on delivery or upfront;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negative publicity or reputational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follow our vendor code of conduct and/or violate legal and regulatory requirements;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supply chain disruptions that cause lead times to be lengthened or missed entirely; or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 to execute on the design we have provided for co-manufactured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pStyle w:val="TextBody"/>
        <w:bidi w:val="0"/>
        <w:spacing w:lineRule="auto" w:line="288" w:before="360" w:after="283"/>
        <w:jc w:val="left"/>
        <w:rPr/>
      </w:pPr>
      <w:r>
        <w:rPr>
          <w:rFonts w:ascii="Arial;sans-serif" w:hAnsi="Arial;sans-serif"/>
          <w:b/>
          <w:i/>
          <w:color w:val="000000"/>
          <w:sz w:val="20"/>
        </w:rPr>
        <w:t>We rely on third parties to provide the payment processing infrastructure underlying our business. If these third-party providers become unavailable or unavailable on favorable terms, our business could be adversely affected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Our business relies on third-party cloud infrastructures, and any disruption of, or interference with, our use of cloud infrastructures could adversely affect our business, financial condition or results of operations</w:t>
      </w:r>
      <w:r>
        <w:rPr>
          <w:rFonts w:ascii="Arial;sans-serif" w:hAnsi="Arial;sans-serif"/>
          <w:b w:val="false"/>
          <w:color w:val="000000"/>
          <w:sz w:val="20"/>
        </w:rPr>
        <w: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migrated a substantial portion of our primary production environment, core architecture, and data centers to a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pStyle w:val="TextBody"/>
        <w:bidi w:val="0"/>
        <w:spacing w:lineRule="auto" w:line="288" w:before="360" w:after="283"/>
        <w:jc w:val="left"/>
        <w:rPr/>
      </w:pPr>
      <w:r>
        <w:rPr>
          <w:rFonts w:ascii="Arial;sans-serif" w:hAnsi="Arial;sans-serif"/>
          <w:b/>
          <w:i/>
          <w:color w:val="000000"/>
          <w:sz w:val="20"/>
        </w:rPr>
        <w:t>We depend on search engines, social media platforms, mobile application stores, content-based and cross-context behavioral</w:t>
      </w:r>
      <w:r>
        <w:rPr>
          <w:color w:val="000000"/>
        </w:rPr>
        <w:t xml:space="preserve"> </w:t>
      </w:r>
      <w:r>
        <w:rPr>
          <w:rFonts w:ascii="Arial;sans-serif" w:hAnsi="Arial;sans-serif"/>
          <w:b/>
          <w:i/>
          <w:color w:val="000000"/>
          <w:sz w:val="20"/>
        </w:rPr>
        <w:t>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maintain and increase the number of consumers directed to our products from digital platforms is not entirely within our control. Search engines, social media platforms 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We may incur significant losses from fraud</w:t>
      </w:r>
      <w:r>
        <w:rPr>
          <w:rFonts w:ascii="Arial;sans-serif" w:hAnsi="Arial;sans-serif"/>
          <w:b w:val="false"/>
          <w:color w:val="000000"/>
          <w:sz w:val="20"/>
        </w:rPr>
        <w: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pStyle w:val="TextBody"/>
        <w:bidi w:val="0"/>
        <w:spacing w:lineRule="auto" w:line="288" w:before="360" w:after="283"/>
        <w:jc w:val="left"/>
        <w:rPr/>
      </w:pPr>
      <w:r>
        <w:rPr>
          <w:rFonts w:ascii="Arial;sans-serif" w:hAnsi="Arial;sans-serif"/>
          <w:b/>
          <w:i/>
          <w:color w:val="000000"/>
          <w:sz w:val="20"/>
        </w:rPr>
        <w:t>If our insurance coverage is insufficient for the needs of our business or our insurance providers are unable to meet their obligations, we may not be able to mitigate the risks facing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Credit Facility Amendment.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Ownership of Our Class A Common Stock</w:t>
      </w:r>
    </w:p>
    <w:p>
      <w:pPr>
        <w:pStyle w:val="TextBody"/>
        <w:bidi w:val="0"/>
        <w:spacing w:lineRule="auto" w:line="288" w:before="240" w:after="283"/>
        <w:jc w:val="left"/>
        <w:rPr/>
      </w:pPr>
      <w:r>
        <w:rPr>
          <w:rFonts w:ascii="Arial;sans-serif" w:hAnsi="Arial;sans-serif"/>
          <w:b/>
          <w:i/>
          <w:color w:val="000000"/>
          <w:sz w:val="20"/>
        </w:rPr>
        <w:t>The dual class structure of our common stock and the stockholders’ agreement among us and certain stockholders have the effect of concentrating voting control with those stockholders who held our capital stock prior to the listing of our Class A</w:t>
      </w:r>
      <w:r>
        <w:rPr>
          <w:color w:val="000000"/>
        </w:rPr>
        <w:t xml:space="preserve"> </w:t>
      </w:r>
      <w:r>
        <w:rPr>
          <w:rFonts w:ascii="Arial;sans-serif" w:hAnsi="Arial;sans-serif"/>
          <w:b/>
          <w:i/>
          <w:color w:val="000000"/>
          <w:sz w:val="20"/>
        </w:rPr>
        <w:t>common stock on Nasdaq, including our Co-Founders, and their affiliates, which will limit an investor’s ability to influence corporate matters, including a change of control</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are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Co-Founder, President and Chair, Jennifer Y. Hyman, entered into a stockholders’ agreement in connection with our IPO with respect to the election of directors.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holders of our Class B common stock have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We are required to meet the Nasdaq Global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required to meet the continued listing requirements of the Nasdaq Global Market and other Nasdaq rules, including those regarding director independence and independent committee requirements, minimum share price and certain other corporate governance requirements.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October 20, 2023, we received a letter from Nasdaq indicating that, for the prior thirty consecutive business days, the bid price for our Class A common stock had closed below the minimum $1.00 per share requirement for continued listing (the “Bid Price Rule”). In order to regain compliance with the Bid Price Rule, we implemented a 1-for-20 reverse stock split that became effective on April 2, 2024 and our Class A common stock began trading on a post-split basis on April 3, 2024 (the “Reverse Stock Split”). On April 17, 2024, Nasdaq confirmed that we had regained compliance with the Bid Price Rule.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on March 27, 2024, we received a letter from Nasdaq indicating that we were no longer in compliance with the minimum market value of listed securities of $35,000,000 required for continued listing on The Nasdaq Capital Market (the “Minimum Market Value Rule”). On April 25, 2024, Nasdaq confirmed our transfer to the Nasdaq Global Market and removed the deficiency under the Minimum Market Value Rule.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While we are currently in compliance with the continued listing requirements of The Nasdaq Global Market, there can be no guarantee that we will be able to maintain compliance with these requirements in the future. If we do not meet these continued listing requirements, our Class A common stock could be delisted. Delisting of our Class A common stock from the Nasdaq Global Market could cause us to pursue eligibility for trading on other markets or exchanges, or on the pink sheets. In such case, our stockholders’ ability to trade, or obtain quotations of the market value of, our ordinary shares would be severely limited because of lower trading volumes and transaction delays.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Our share price may be volatile, and our investors may be unable to sell shares at or above the price they paid for them</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The market price of our Class A common stock has declined significantly since our IPO, has been volatile and is likely to continue to be volatile and could be subject to wide fluctuations in response to the risk factors described in this </w:t>
      </w:r>
      <w:r>
        <w:rPr>
          <w:rFonts w:ascii="Arial;sans-serif" w:hAnsi="Arial;sans-serif"/>
          <w:b w:val="false"/>
          <w:color w:val="000000"/>
          <w:sz w:val="20"/>
          <w:shd w:fill="FFFFFF" w:val="clear"/>
        </w:rPr>
        <w:t>Annual Report</w:t>
      </w:r>
      <w:r>
        <w:rPr>
          <w:rFonts w:ascii="Arial;sans-serif" w:hAnsi="Arial;sans-serif"/>
          <w:b w:val="false"/>
          <w:color w:val="000000"/>
          <w:sz w:val="20"/>
        </w:rPr>
        <w:t>, and others within or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anticipated fluctuations in our revenue or other operating metrics;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actual or anticipated operating performance and the operating performance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financial projections we provide to the public or our failure to meet these projections;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positive or negative publicity;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any major change in our board of directors, management, or key personnel;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economy as a whole and market conditions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overall stock market conditions;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rumors and market speculation involving us or other companies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legal and regulatory landscape and changes in the application of existing laws or adoption of new laws that impact our business, including changes in e-commerce and tax laws;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and regulatory claims, litigation, or pre-litigation disputes and other proceedings;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COVID-19 or future pandemics on our business or the fashion industry and sharing economy generally;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sales or expected sales of our Class A common stock by us, our officers, directors, principal stockholders,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securities or industry analysts publish research about our business, or if they publish unfavorable research;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other events or factors, including those resulting from geopolitical conditions, including tariffs and trade policies, war, incidents of terrorism,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pStyle w:val="TextBody"/>
        <w:bidi w:val="0"/>
        <w:spacing w:lineRule="auto" w:line="288" w:before="360" w:after="283"/>
        <w:jc w:val="left"/>
        <w:rPr/>
      </w:pPr>
      <w:r>
        <w:rPr>
          <w:rFonts w:ascii="Arial;sans-serif" w:hAnsi="Arial;sans-serif"/>
          <w:b/>
          <w:i/>
          <w:color w:val="000000"/>
          <w:sz w:val="20"/>
        </w:rPr>
        <w:t>Our management has broad discretion in the use of our cash resources and may not use them effectively</w:t>
      </w:r>
      <w:r>
        <w:rPr>
          <w:rFonts w:ascii="Arial;sans-serif" w:hAnsi="Arial;sans-serif"/>
          <w:b w:val="false"/>
          <w:color w:val="000000"/>
          <w:sz w:val="2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has broad discretion, subject to our 2025 Amended Facility,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pStyle w:val="TextBody"/>
        <w:bidi w:val="0"/>
        <w:spacing w:lineRule="auto" w:line="288" w:before="360" w:after="283"/>
        <w:jc w:val="left"/>
        <w:rPr/>
      </w:pPr>
      <w:r>
        <w:rPr>
          <w:rFonts w:ascii="Arial;sans-serif" w:hAnsi="Arial;sans-serif"/>
          <w:b/>
          <w:i/>
          <w:color w:val="000000"/>
          <w:sz w:val="20"/>
        </w:rPr>
        <w:t>Our business and financial performance may differ from any projections that we disclose or any information that may be attributed to us by third parties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Annual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bidi w:val="0"/>
        <w:spacing w:lineRule="auto" w:line="288" w:before="360" w:after="283"/>
        <w:jc w:val="left"/>
        <w:rPr/>
      </w:pPr>
      <w:r>
        <w:rPr>
          <w:rFonts w:ascii="Arial;sans-serif" w:hAnsi="Arial;sans-serif"/>
          <w:b/>
          <w:i/>
          <w:color w:val="000000"/>
          <w:sz w:val="20"/>
        </w:rPr>
        <w:t>Future sales of our common stock in the public market could cause our share price to fall</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future, we may sell additional Class A common stock, other series of common stock, convertible securities, or other equity securities, including preferred securities, in one or more transactions at prices and in a manner we determine from time to time, including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pStyle w:val="TextBody"/>
        <w:bidi w:val="0"/>
        <w:spacing w:lineRule="auto" w:line="288" w:before="240" w:after="283"/>
        <w:jc w:val="left"/>
        <w:rPr/>
      </w:pPr>
      <w:r>
        <w:rPr>
          <w:rFonts w:ascii="Arial;sans-serif" w:hAnsi="Arial;sans-serif"/>
          <w:b w:val="false"/>
          <w:color w:val="000000"/>
          <w:sz w:val="20"/>
        </w:rPr>
        <w:t xml:space="preserve">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w:t>
      </w:r>
      <w:r>
        <w:rPr>
          <w:rFonts w:ascii="Arial;sans-serif" w:hAnsi="Arial;sans-serif"/>
          <w:b w:val="false"/>
          <w:color w:val="000000"/>
          <w:sz w:val="20"/>
          <w:shd w:fill="FFFFFF" w:val="clear"/>
        </w:rPr>
        <w:t>restricted stock units (“</w:t>
      </w:r>
      <w:r>
        <w:rPr>
          <w:rFonts w:ascii="Arial;sans-serif" w:hAnsi="Arial;sans-serif"/>
          <w:b w:val="false"/>
          <w:color w:val="000000"/>
          <w:sz w:val="20"/>
        </w:rPr>
        <w:t>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factors could also make it more difficult for us to raise additional funds through future offerings of our shares of Class A common stock or other securities.</w:t>
      </w:r>
    </w:p>
    <w:p>
      <w:pPr>
        <w:pStyle w:val="TextBody"/>
        <w:bidi w:val="0"/>
        <w:spacing w:lineRule="auto" w:line="288" w:before="360" w:after="283"/>
        <w:jc w:val="left"/>
        <w:rPr/>
      </w:pPr>
      <w:r>
        <w:rPr>
          <w:rFonts w:ascii="Arial;sans-serif" w:hAnsi="Arial;sans-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classified board of directors so that not all members of our board of directors are elected at one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requirement that our directors may only be removed for cause;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fill all board vacancies, subject to the rights granted pursuant to the stockholders’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stockholder actions by written consent, thereby requiring that all stockholder actions be taken at a meeting of our stockholders;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advance notice procedures for stockholder director nominees and annual meeting matters (other than the parties to our stockholders; agreement for nominations made pursuant to the terms of the stockholders’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inability of our stockholders to call special meetings of stockholders;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amend our Amended Bylaws without stockholder consent;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requirement of a super-majority to amend some provisions in our Amended Charter and Amended Bylaws;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cumulative voting for directors.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Arial;sans-serif" w:hAnsi="Arial;sans-serif"/>
          <w:b/>
          <w:i/>
          <w:color w:val="000000"/>
          <w:sz w:val="20"/>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Amended Charter provides that the doctrine of “corporate opportunity” does not apply with respect to any directors (or their affiliates) who are not our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68" w:before="120" w:after="283"/>
        <w:jc w:val="left"/>
        <w:rPr>
          <w:rFonts w:ascii="Arial;sans-serif" w:hAnsi="Arial;sans-serif"/>
          <w:b/>
          <w:i/>
          <w:color w:val="000000"/>
          <w:sz w:val="20"/>
        </w:rPr>
      </w:pPr>
      <w:r>
        <w:rPr>
          <w:rFonts w:ascii="Arial;sans-serif" w:hAnsi="Arial;sans-serif"/>
          <w:b/>
          <w:i/>
          <w:color w:val="000000"/>
          <w:sz w:val="20"/>
        </w:rPr>
        <w:t>The effects of climate change and related regulatory, customer and investor responses may adversely impact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Cybersecurity Risk Management and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developed and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 Our cybersecurity risk management program is managed separately from our other risk management programs.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Key elements of our cybersecurity risk management program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risk assessments designed to help identify material cybersecurity risks to our critical systems and information;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security team principally responsible for managing our cybersecurity risk assessment processes, our security controls, and our response to cybersecurity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use of external service providers, where appropriate, to assess, test or otherwise assist with aspects of our security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cybersecurity awareness training of our employees, incident response personnel, and senior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cybersecurity incident response plan that includes procedures for responding to cybersecurity incidents; and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risk management process for certain third-party service providers, suppliers, and vendors based on, among other things, their criticality to our operations, access to RTR data, cybersecurity risk profile, and business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headings: “Any significant technology disruption or failure, cyberattack or data security incident could adversely affect our business, financial condition and operations.” and “Our business relies on third-party cloud infrastructures, and any disruption of, or interference with, our use of cloud infrastructures could adversely affect our business, financial condition or results of operations.” included as part of our risk factor disclosures in Part I, Item 1A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Cybersecurity Governance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full Board considers cybersecurity risk as part of its risk oversight function and oversees management’s implementation of our cybersecurity risk management program. The Board receives quarterly reports from management on cybersecurity risks. In addition, management is responsible for updating the Board, where it deems appropriate, regarding any cybersecurity incidents it considers to be significant.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SVP, Engineering and our VP, Technology &amp; CISO are the members of our management team who are primarily responsible for assessing and managing our material risks from cybersecurity threats. Their team has primary responsibility for our overall cybersecurity risk management program and they supervise our internal cybersecurity personnel and our external cybersecurity consultants. Our management team has deep expertise in e-commerce and consumer retail. In addition, our VP, Technology &amp; CISO’s experience includes developing secure products as well as head of security and CISO positions at both public and private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supervision of our SVP, Engineering and our VP, Technology &amp; CISO, the security team takes steps to stay informed about and monitor efforts to prevent, detect and respond to, as well as recovery and remediation efforts with respect to cybersecurity risks and incidents through various means, which may include briefings from internal security personnel; threat intelligence and other information obtained from governmental, public or private sources, including external consultants engaged by us and participants in our vulnerability disclosure program; and alerts and reports produced by security tools deployed in our IT environment. The security team, under the leadership of the SVP, Engineering and VP, Technology &amp; CISO, meet periodically to review the status of the cybersecurity program, including, as applicable, the status of regularly monitored cybersecurity benchmarks, responses to external or internal incidence or intelligence, oversight of third-party vendors, and progress against discrete program goals. Trends in risks, risk mitigations, long-term progress against program goals, and discrete intelligence or incidents discussed in these meetings are then shared in periodic cybersecurity reports to the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corporate headquarters is located in Brooklyn, New York under a lease that expires in November 2032. This lease consists of approximately 71,000 square feet of space, of which we sublease approximately 47,000 square feet to other parties. We also lease and operate two fulfillment centers in Secaucus, New Jersey and Arlington, Texas under leases that expire in August 2029 and May 2030, respectively. We also lease commercial spaces in New York City and Galway, Ireland.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our facilities are suitable for our current needs. We intend to expand our facilities or add new facilities as we grow and believe that suitable additional or alternative space will be available as needed to accommodate such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information contained in “Note 15 — Commitments and Contingencies” in the Notes to the Consolidated Financial Statements is incorporated by reference into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Not applicable. </w:t>
      </w:r>
    </w:p>
    <w:p>
      <w:pPr>
        <w:pStyle w:val="TextBody"/>
        <w:bidi w:val="0"/>
        <w:spacing w:before="0" w:after="0"/>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Class A common stock is listed on the Nasdaq Global Market under the symbol “RENT.”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Holders of Record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w:t>
      </w:r>
      <w:r>
        <w:rPr>
          <w:rFonts w:ascii="Arial;sans-serif" w:hAnsi="Arial;sans-serif"/>
          <w:b w:val="false"/>
          <w:color w:val="000000"/>
          <w:sz w:val="20"/>
        </w:rPr>
        <w:t>of April 11, 2025, there were approximately 129 stockholders of record of our Class A common stock and seven stockholders of record of our Class B common stock. The number of stockholders of record is based upon the actual number of holders registered on this date and does not include holders of common stock in “street name” by brokers or other entities on behalf of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graph shows a comparison from October 27, 2021 (the date our common stock commenced trading on Nasdaq), through January 31, 2025, of the cumulative total returns for our common stock, the Nasdaq Composite Index and the S&amp;P Retail Select Index. The graph assumes $100 was invested at the market close on October 27, 2021 in our Class A common stock, the Nasdaq Composite Index, and the S&amp;P Retail Select Index, respectively. Such returns are based on historical results and are not intended to suggest future performance. The Nasdaq Composite Index and S&amp;P Retail Select Index assume reinvestment of any dividends. The performance shown in the graph below is not intended to forecast or be indicative of future stock price performance.</w:t>
      </w:r>
    </w:p>
    <w:p>
      <w:pPr>
        <w:pStyle w:val="TextBody"/>
        <w:bidi w:val="0"/>
        <w:spacing w:before="120" w:after="283"/>
        <w:jc w:val="left"/>
        <w:rPr/>
      </w:pPr>
      <w:r>
        <w:rPr/>
      </w:r>
    </w:p>
    <w:p>
      <w:pPr>
        <w:pStyle w:val="TextBody"/>
        <w:bidi w:val="0"/>
        <w:spacing w:before="120" w:after="283"/>
        <w:jc w:val="left"/>
        <w:rPr/>
      </w:pPr>
      <w:r>
        <w:rPr/>
        <w:drawing>
          <wp:inline distT="0" distB="0" distL="0" distR="0">
            <wp:extent cx="5581650" cy="4200525"/>
            <wp:effectExtent l="0" t="0" r="0" b="0"/>
            <wp:docPr id="6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 descr=""/>
                    <pic:cNvPicPr>
                      <a:picLocks noChangeAspect="1" noChangeArrowheads="1"/>
                    </pic:cNvPicPr>
                  </pic:nvPicPr>
                  <pic:blipFill>
                    <a:blip r:embed="rId2"/>
                    <a:stretch>
                      <a:fillRect/>
                    </a:stretch>
                  </pic:blipFill>
                  <pic:spPr bwMode="auto">
                    <a:xfrm>
                      <a:off x="0" y="0"/>
                      <a:ext cx="5581650" cy="4200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0" w:after="0"/>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pPr>
      <w:r>
        <w:rPr>
          <w:rFonts w:ascii="Arial;sans-serif" w:hAnsi="Arial;sans-serif"/>
          <w:b/>
          <w:color w:val="000000"/>
          <w:sz w:val="20"/>
          <w:shd w:fill="FFFFFF" w:val="clear"/>
        </w:rPr>
        <w:t xml:space="preserve">Item 7. </w:t>
      </w:r>
      <w:r>
        <w:rPr>
          <w:rFonts w:ascii="Arial;sans-serif" w:hAnsi="Arial;sans-serif"/>
          <w:b/>
          <w:color w:val="000000"/>
          <w:sz w:val="20"/>
        </w:rPr>
        <w:t>Management’s Discussion and Analysis of Financial Condition and Results of Operations</w:t>
      </w:r>
    </w:p>
    <w:p>
      <w:pPr>
        <w:pStyle w:val="TextBody"/>
        <w:bidi w:val="0"/>
        <w:spacing w:lineRule="auto" w:line="276" w:before="120" w:after="283"/>
        <w:jc w:val="left"/>
        <w:rPr/>
      </w:pPr>
      <w:r>
        <w:rPr>
          <w:rFonts w:ascii="Arial;sans-serif" w:hAnsi="Arial;sans-serif"/>
          <w:b w:val="false"/>
          <w:i/>
          <w:color w:val="000000"/>
          <w:sz w:val="20"/>
          <w:shd w:fill="FFFFFF" w:val="clear"/>
        </w:rPr>
        <w:t xml:space="preserve">The following discussion of our financial condition and results of operations should be read in conjunction with our audited consolidated financial statements and the related notes included elsewhere in this Annual Report on Form 10-K. The following discussion focuses on fiscal years </w:t>
      </w:r>
      <w:r>
        <w:rPr>
          <w:rFonts w:ascii="Arial;sans-serif" w:hAnsi="Arial;sans-serif"/>
          <w:b w:val="false"/>
          <w:i/>
          <w:color w:val="000000"/>
          <w:sz w:val="20"/>
        </w:rPr>
        <w:t>2024</w:t>
      </w:r>
      <w:r>
        <w:rPr>
          <w:color w:val="000000"/>
          <w:shd w:fill="FFFFFF" w:val="clear"/>
        </w:rPr>
        <w:t xml:space="preserve"> </w:t>
      </w:r>
      <w:r>
        <w:rPr>
          <w:rFonts w:ascii="Arial;sans-serif" w:hAnsi="Arial;sans-serif"/>
          <w:b w:val="false"/>
          <w:i/>
          <w:color w:val="000000"/>
          <w:sz w:val="20"/>
          <w:shd w:fill="FFFFFF" w:val="clear"/>
        </w:rPr>
        <w:t xml:space="preserve">and 2023 financial condition and results of operations and year-to-year comparisons between fiscal years </w:t>
      </w:r>
      <w:r>
        <w:rPr>
          <w:rFonts w:ascii="Arial;sans-serif" w:hAnsi="Arial;sans-serif"/>
          <w:b w:val="false"/>
          <w:i/>
          <w:color w:val="000000"/>
          <w:sz w:val="20"/>
        </w:rPr>
        <w:t>2024</w:t>
      </w:r>
      <w:r>
        <w:rPr>
          <w:color w:val="000000"/>
          <w:shd w:fill="FFFFFF" w:val="clear"/>
        </w:rPr>
        <w:t xml:space="preserve"> </w:t>
      </w:r>
      <w:r>
        <w:rPr>
          <w:rFonts w:ascii="Arial;sans-serif" w:hAnsi="Arial;sans-serif"/>
          <w:b w:val="false"/>
          <w:i/>
          <w:color w:val="000000"/>
          <w:sz w:val="20"/>
          <w:shd w:fill="FFFFFF" w:val="clear"/>
        </w:rPr>
        <w:t>and 2023. Discussion of fiscal year 2022 financial condition and results of operations and year-to-year comparisons between fiscal years 2023 and 2022 are included in Part II, Item 7, “Management’s Discussion and Analysis of Financial Condition and Results of Operations” in our Annual Report on Form 10-K for the fiscal year ended January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Annual Report on Form 10-K, particularly in Part I, Item 1A,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20" w:after="283"/>
        <w:jc w:val="left"/>
        <w:rPr/>
      </w:pPr>
      <w:r>
        <w:rPr>
          <w:rFonts w:ascii="Arial;sans-serif" w:hAnsi="Arial;sans-serif"/>
          <w:b w:val="false"/>
          <w:color w:val="000000"/>
          <w:sz w:val="20"/>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164,004 ending total subscribers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(active and paused) as of January 31, 2025. We had 119,778 active subscribers as of January 31, 2025. The majority of our revenue is highly recurring and is generated by our subscribers. For the years ended January 31, 2025 and 2024, respectively, 88% and 88% of our total revenue (including Reserve and Resale revenue) was generated by subscribers while they were active or paused.</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rental items at a fraction of their retail or comparable value, creating an attractive price and value proposition for our subscribers and customers.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 Business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Returned to our customer-obsessed roots. </w:t>
      </w:r>
      <w:r>
        <w:rPr>
          <w:rFonts w:ascii="Arial;sans-serif" w:hAnsi="Arial;sans-serif"/>
          <w:b w:val="false"/>
          <w:color w:val="000000"/>
          <w:sz w:val="20"/>
        </w:rPr>
        <w:t>Refocused our team on the customer. We launched our “We Heard You” customer campaign to showcase that we have listened to our customer and are laser-focused on what matters to her most, including by investing more in the rental product she desires.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Announced the largest rental product acquisition in company history. </w:t>
      </w:r>
      <w:r>
        <w:rPr>
          <w:rFonts w:ascii="Arial;sans-serif" w:hAnsi="Arial;sans-serif"/>
          <w:b w:val="false"/>
          <w:color w:val="000000"/>
          <w:sz w:val="20"/>
        </w:rPr>
        <w:t>Expecting to approximately double the new rental product coming onto the platform in fiscal year 2025. This is anticipated to include a 3-4 times increase in units on average from key brands most desired by customers.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Expanded our cost-efficient models to acquire rental product,</w:t>
      </w:r>
      <w:r>
        <w:rPr>
          <w:color w:val="000000"/>
        </w:rPr>
        <w:t xml:space="preserve"> </w:t>
      </w:r>
      <w:r>
        <w:rPr>
          <w:rFonts w:ascii="Arial;sans-serif" w:hAnsi="Arial;sans-serif"/>
          <w:b w:val="false"/>
          <w:color w:val="000000"/>
          <w:sz w:val="20"/>
        </w:rPr>
        <w:t>including the Share by RTR revenue share program and Exclusive Designs collections. Total units from the Share by RTR program are expected to increase to approximately 62% of total units in fiscal year 2025, a 2.5 times increase versus fiscal year 2024. We believe that this expansion highlights RTR’s ability to serve as a marketing channel for brands.</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Rapidly improving the customer experience through a steady drumbeat of product innovations.</w:t>
      </w:r>
      <w:r>
        <w:rPr>
          <w:color w:val="000000"/>
        </w:rPr>
        <w:t xml:space="preserve"> </w:t>
      </w:r>
      <w:r>
        <w:rPr>
          <w:rFonts w:ascii="Arial;sans-serif" w:hAnsi="Arial;sans-serif"/>
          <w:b w:val="false"/>
          <w:color w:val="000000"/>
          <w:sz w:val="20"/>
        </w:rPr>
        <w:t>In response to direct customer feedback and designed to improve retention, we have launched and are expecting to launch:</w:t>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60-day customer promise, giving new members risk-free renting for their first two months, meaning we will replace any item that does not fit or feel right for free.</w:t>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Back-in-stock notifications for customer-hearted items, which sends customers a notification when a favorite item becomes available. We plan to further expand in-stock notifications for specific styles and sizes in the near future, which is our #1 most requested new feature.</w:t>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Enhancements to our personalized new customer onboarding experience, where members of our customer service team call new members personally to review the details of how RTR works, and answer any questions.</w:t>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Stylist in product, which connects customers to a stylist over text or Zoom to help guide her selection of styles.</w:t>
      </w:r>
    </w:p>
    <w:p>
      <w:pPr>
        <w:pStyle w:val="TextBody"/>
        <w:bidi w:val="0"/>
        <w:spacing w:lineRule="auto" w:line="288" w:before="180" w:after="283"/>
        <w:jc w:val="left"/>
        <w:rPr/>
      </w:pPr>
      <w:r>
        <w:rPr>
          <w:rFonts w:ascii="Arial;sans-serif" w:hAnsi="Arial;sans-serif"/>
          <w:b/>
          <w:i/>
          <w:color w:val="000000"/>
          <w:sz w:val="20"/>
          <w:shd w:fill="FFFFFF" w:val="clear"/>
        </w:rPr>
        <w:t xml:space="preserve">Key Operating and Financial Results. </w:t>
      </w:r>
      <w:r>
        <w:rPr>
          <w:rFonts w:ascii="Arial;sans-serif" w:hAnsi="Arial;sans-serif"/>
          <w:b w:val="false"/>
          <w:color w:val="000000"/>
          <w:sz w:val="20"/>
          <w:shd w:fill="FFFFFF" w:val="clear"/>
        </w:rPr>
        <w:t xml:space="preserve">We have achieved the following operating and financial results for the years ended January 31, 2025 and </w:t>
      </w:r>
      <w:r>
        <w:rPr>
          <w:rFonts w:ascii="Arial;sans-serif" w:hAnsi="Arial;sans-serif"/>
          <w:b w:val="false"/>
          <w:color w:val="000000"/>
          <w:sz w:val="20"/>
        </w:rPr>
        <w:t>2024</w:t>
      </w:r>
      <w:r>
        <w:rPr>
          <w:rFonts w:ascii="Arial;sans-serif" w:hAnsi="Arial;sans-serif"/>
          <w:b w:val="false"/>
          <w:color w:val="000000"/>
          <w:sz w:val="20"/>
          <w:shd w:fill="FFFFFF" w:val="clear"/>
        </w:rPr>
        <w:t>, respectively:</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$306.2 million and $298.2 million, respectively, representing 2.7%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119,778 and 125,954 ending Active Subscribers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(excluding paused subscribers), respectively, representing a change of (5)% year-over-year;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132,574 and 135,211 Average Active Subscribers</w:t>
      </w:r>
      <w:r>
        <w:rPr>
          <w:rFonts w:ascii="Arial;sans-serif" w:hAnsi="Arial;sans-serif"/>
          <w:b w:val="false"/>
          <w:color w:val="000000"/>
          <w:sz w:val="13"/>
        </w:rPr>
        <w:t>4</w:t>
      </w:r>
      <w:r>
        <w:rPr>
          <w:rFonts w:ascii="Arial;sans-serif" w:hAnsi="Arial;sans-serif"/>
          <w:b w:val="false"/>
          <w:color w:val="000000"/>
          <w:sz w:val="20"/>
        </w:rPr>
        <w:t>, respectively, representing a change of (2)%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164,004 and 173,247 ending Total Subscribers (including paused subscribers), respectively, representing a change of (5)%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Gross Profit was $115.9 million and $119.7 million, respectively, representing a gross margin of 37.9% and 40.1%, respectively;</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rPr>
        <w:t>Net Loss was $(69.9) million and $(113.2) million, respectively. Net Loss as a percentage of revenue was (22.8)%, and (38.0)%, respectively, and included $0.2 million and $3.1 million of restructuring and related charges,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Adjusted EBITDA was $46.9 million and $26.9 million, respectively, representing an Adjusted EBITDA margin of 15.3% and 9.0%, respectively;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provided by operating activities was $12.9 million and $(15.7) million, and net cash used in investing activities was $(20.1) million and $(54.6) million,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operating activities as a percentage of revenue was 4.2% and (5.3)% and net cash used in investing activities as a percentage of revenue was (6.6)% and (18.3)%, respectively;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Cash and Cash Equivalents was $77.4 million and $84.0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Our Product Acquisition Strategy</w:t>
      </w:r>
    </w:p>
    <w:p>
      <w:pPr>
        <w:pStyle w:val="TextBody"/>
        <w:bidi w:val="0"/>
        <w:spacing w:lineRule="auto" w:line="288" w:before="180" w:after="283"/>
        <w:jc w:val="left"/>
        <w:rPr/>
      </w:pPr>
      <w:r>
        <w:rPr>
          <w:rFonts w:ascii="Arial;sans-serif" w:hAnsi="Arial;sans-serif"/>
          <w:b w:val="false"/>
          <w:color w:val="000000"/>
          <w:sz w:val="20"/>
          <w:shd w:fill="FFFFFF" w:val="clear"/>
        </w:rPr>
        <w:t>We acquire and monetize products in three ways: Wholesale, Share by RTR and Exclusive Designs. These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we pay brands primarily based on item performance. Our Share by RTR arrangements with brands target deliv</w:t>
      </w:r>
      <w:r>
        <w:rPr>
          <w:rFonts w:ascii="Arial;sans-serif" w:hAnsi="Arial;sans-serif"/>
          <w:b w:val="false"/>
          <w:color w:val="000000"/>
          <w:sz w:val="20"/>
        </w:rPr>
        <w:t xml:space="preserve">ering 75% to 100% of </w:t>
      </w:r>
      <w:r>
        <w:rPr>
          <w:rFonts w:ascii="Arial;sans-serif" w:hAnsi="Arial;sans-serif"/>
          <w:b w:val="false"/>
          <w:color w:val="000000"/>
          <w:sz w:val="20"/>
          <w:shd w:fill="FFFFFF" w:val="clear"/>
        </w:rPr>
        <w:t>comparable Wholesale cost to the brand in the first year; however there is no minimum commitment other than the upfr</w:t>
      </w:r>
      <w:r>
        <w:rPr>
          <w:rFonts w:ascii="Arial;sans-serif" w:hAnsi="Arial;sans-serif"/>
          <w:b w:val="false"/>
          <w:color w:val="000000"/>
          <w:sz w:val="20"/>
        </w:rPr>
        <w:t xml:space="preserve">ont payment, if applicable. Nearly all Share by RTR deals consummated after September 2020 include a cap on total potential payments to the brand partner. </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Active Subscribers is defined as ending total subscribers as of period end, excluding paused subscribers.</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Average Active Subscribers represents the mean of the beginning of quarter and end of quarter Active Subscribers for a quarterly period; and for other periods, represents the mean of the Average Active Subscribers of every quarter within that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20" w:after="283"/>
        <w:jc w:val="left"/>
        <w:rPr/>
      </w:pPr>
      <w:r>
        <w:rPr>
          <w:rFonts w:ascii="Arial;sans-serif" w:hAnsi="Arial;sans-serif"/>
          <w:b w:val="false"/>
          <w:color w:val="000000"/>
          <w:sz w:val="20"/>
        </w:rPr>
        <w:t xml:space="preserve">The chart below summarizes the percentage of new items acquired via each method. In total, approximately 70% of new items were acquired through the more capital-efficient channels in fiscal year 2024, approximately 61% in fiscal year 2023 and approximately 58% in fiscal year 2022. </w:t>
      </w:r>
      <w:r>
        <w:rPr>
          <w:rFonts w:ascii="Arial;sans-serif" w:hAnsi="Arial;sans-serif"/>
          <w:b w:val="false"/>
          <w:color w:val="000000"/>
          <w:sz w:val="20"/>
          <w:shd w:fill="FFFFFF" w:val="clear"/>
        </w:rPr>
        <w:t>Both our purchasing power and the diversification into Share by RTR and Exclusive Designs have led to a decrease in rental product capital expenditures (or Purchases of Rental Product as presented in the Consolidated Statement of Cash Flows) as a percentage of revenue over ti</w:t>
      </w:r>
      <w:r>
        <w:rPr>
          <w:rFonts w:ascii="Arial;sans-serif" w:hAnsi="Arial;sans-serif"/>
          <w:b w:val="false"/>
          <w:color w:val="000000"/>
          <w:sz w:val="20"/>
        </w:rPr>
        <w:t>me. We plan to further decrease the percentage of units acquired through Wholesale and increase the percentage of units acquired through our more capital-efficient channels, Exclusive Designs and Share by RTR over time. We expect to incur higher purchases of rental product in fiscal year 2025 relative to fiscal year 2024 in connection with our strategy to approximately double the new rental product added to our site and made available to our customers in fiscal year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71"/>
        <w:gridCol w:w="502"/>
        <w:gridCol w:w="504"/>
        <w:gridCol w:w="1124"/>
        <w:gridCol w:w="544"/>
        <w:gridCol w:w="546"/>
        <w:gridCol w:w="1014"/>
        <w:gridCol w:w="593"/>
        <w:gridCol w:w="595"/>
        <w:gridCol w:w="498"/>
        <w:gridCol w:w="498"/>
        <w:gridCol w:w="500"/>
        <w:gridCol w:w="530"/>
        <w:gridCol w:w="530"/>
        <w:gridCol w:w="531"/>
        <w:gridCol w:w="327"/>
        <w:gridCol w:w="327"/>
        <w:gridCol w:w="471"/>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Description</w:t>
            </w:r>
          </w:p>
        </w:tc>
        <w:tc>
          <w:tcPr>
            <w:tcW w:w="2202"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Consolidated Statement of Operations</w:t>
            </w:r>
          </w:p>
        </w:tc>
        <w:tc>
          <w:tcPr>
            <w:tcW w:w="1496"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Consolidated Balance Sheets</w:t>
            </w:r>
          </w:p>
        </w:tc>
        <w:tc>
          <w:tcPr>
            <w:tcW w:w="1591"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Consolidated Statement of Cash Flows</w:t>
            </w:r>
          </w:p>
        </w:tc>
        <w:tc>
          <w:tcPr>
            <w:tcW w:w="1125" w:type="dxa"/>
            <w:gridSpan w:val="3"/>
            <w:tcBorders>
              <w:top w:val="single" w:sz="8" w:space="0" w:color="000000"/>
              <w:left w:val="single" w:sz="8" w:space="0" w:color="000000"/>
              <w:right w:val="single" w:sz="8" w:space="0" w:color="000000"/>
            </w:tcBorders>
            <w:shd w:fill="1F5122"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Percent of Items Acquired in FY 2024 / 2023 / 2022</w:t>
            </w:r>
          </w:p>
        </w:tc>
      </w:tr>
      <w:tr>
        <w:trPr/>
        <w:tc>
          <w:tcPr>
            <w:tcW w:w="15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F7F40"/>
                <w:sz w:val="22"/>
              </w:rPr>
            </w:pPr>
            <w:r>
              <w:rPr>
                <w:rFonts w:ascii="Arial;sans-serif" w:hAnsi="Arial;sans-serif"/>
                <w:b/>
                <w:color w:val="0F7F40"/>
                <w:sz w:val="22"/>
              </w:rPr>
              <w:t>WHOLESALE</w:t>
            </w:r>
          </w:p>
        </w:tc>
        <w:tc>
          <w:tcPr>
            <w:tcW w:w="2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are acquired directly from brands partners, typically at a discount to wholesale price</w:t>
            </w:r>
          </w:p>
        </w:tc>
        <w:tc>
          <w:tcPr>
            <w:tcW w:w="2202" w:type="dxa"/>
            <w:gridSpan w:val="3"/>
            <w:tcBorders>
              <w:top w:val="single" w:sz="8" w:space="0" w:color="000000"/>
              <w:left w:val="single" w:sz="8" w:space="0" w:color="000000"/>
            </w:tcBorders>
            <w:shd w:fill="AADEA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is recognized through straight-line depreciation, with a three-year useful life and 20% salvage value, in the "Rental Product Depreciation and Revenue Share" line ⁽¹⁾</w:t>
            </w:r>
          </w:p>
        </w:tc>
        <w:tc>
          <w:tcPr>
            <w:tcW w:w="14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is capitalized as "Rental Products" in long-term assets</w:t>
            </w:r>
          </w:p>
        </w:tc>
        <w:tc>
          <w:tcPr>
            <w:tcW w:w="1591" w:type="dxa"/>
            <w:gridSpan w:val="3"/>
            <w:tcBorders>
              <w:top w:val="single" w:sz="8" w:space="0" w:color="000000"/>
              <w:left w:val="single" w:sz="8" w:space="0" w:color="000000"/>
            </w:tcBorders>
            <w:shd w:fill="AADEA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is recognized as a capital expenditure ("Purchases of Rental Product") at time of acquisition</w:t>
            </w:r>
          </w:p>
        </w:tc>
        <w:tc>
          <w:tcPr>
            <w:tcW w:w="11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30% / 39% / 42%</w:t>
            </w:r>
          </w:p>
        </w:tc>
      </w:tr>
      <w:tr>
        <w:trPr/>
        <w:tc>
          <w:tcPr>
            <w:tcW w:w="15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F7F40"/>
                <w:sz w:val="22"/>
              </w:rPr>
            </w:pPr>
            <w:r>
              <w:rPr>
                <w:rFonts w:ascii="Arial;sans-serif" w:hAnsi="Arial;sans-serif"/>
                <w:b/>
                <w:color w:val="0F7F40"/>
                <w:sz w:val="22"/>
              </w:rPr>
              <w:t>SHARE BY RTR ⁽²⁾</w:t>
            </w:r>
          </w:p>
        </w:tc>
        <w:tc>
          <w:tcPr>
            <w:tcW w:w="22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are acquired directly from brand partners on consignment, at zero to low upfront cost, with performance-based revenue share payments to our brand partners over time</w:t>
            </w:r>
          </w:p>
        </w:tc>
        <w:tc>
          <w:tcPr>
            <w:tcW w:w="2202"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Upfront and performance-based revenue share payments are expensed as incurred in the "Rental Product Depreciation and Revenue Share" line</w:t>
            </w:r>
          </w:p>
        </w:tc>
        <w:tc>
          <w:tcPr>
            <w:tcW w:w="14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are not capitalized on the balance sheet as we do not own them</w:t>
            </w:r>
          </w:p>
        </w:tc>
        <w:tc>
          <w:tcPr>
            <w:tcW w:w="1591"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Upfront revenue share payments flow through Net Income as incurred</w:t>
            </w:r>
          </w:p>
        </w:tc>
        <w:tc>
          <w:tcPr>
            <w:tcW w:w="11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48% / 33% / 27%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tbl>
      <w:tblPr>
        <w:tblW w:w="10205" w:type="dxa"/>
        <w:jc w:val="center"/>
        <w:tblInd w:w="0" w:type="dxa"/>
        <w:tblLayout w:type="fixed"/>
        <w:tblCellMar>
          <w:top w:w="28" w:type="dxa"/>
          <w:left w:w="28" w:type="dxa"/>
          <w:bottom w:w="28" w:type="dxa"/>
          <w:right w:w="28" w:type="dxa"/>
        </w:tblCellMar>
      </w:tblPr>
      <w:tblGrid>
        <w:gridCol w:w="550"/>
        <w:gridCol w:w="482"/>
        <w:gridCol w:w="484"/>
        <w:gridCol w:w="686"/>
        <w:gridCol w:w="686"/>
        <w:gridCol w:w="688"/>
        <w:gridCol w:w="784"/>
        <w:gridCol w:w="784"/>
        <w:gridCol w:w="786"/>
        <w:gridCol w:w="569"/>
        <w:gridCol w:w="569"/>
        <w:gridCol w:w="570"/>
        <w:gridCol w:w="643"/>
        <w:gridCol w:w="643"/>
        <w:gridCol w:w="644"/>
        <w:gridCol w:w="183"/>
        <w:gridCol w:w="183"/>
        <w:gridCol w:w="271"/>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F7F40"/>
                <w:sz w:val="22"/>
              </w:rPr>
            </w:pPr>
            <w:r>
              <w:rPr>
                <w:rFonts w:ascii="Arial;sans-serif" w:hAnsi="Arial;sans-serif"/>
                <w:b/>
                <w:color w:val="0F7F40"/>
                <w:sz w:val="22"/>
              </w:rPr>
              <w:t>EXCLUSIVE DESIGNS ⁽²⁾⁽³⁾</w:t>
            </w:r>
          </w:p>
        </w:tc>
        <w:tc>
          <w:tcPr>
            <w:tcW w:w="20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Items are designed in collaboration with our brand partners and available exclusively on our site for a period of time.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 (or our brands) manufacture through third-party partners . We pay the brand partner an upfront fee and, in most cases, minimal revenue share payments</w:t>
            </w:r>
          </w:p>
        </w:tc>
        <w:tc>
          <w:tcPr>
            <w:tcW w:w="2354"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Upfront and, when applicable, performance-based revenue share payments are expensed as incurred in the "Rental Product Depreciation and Revenue Share" line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Manufacturing cost is recognized through straight-line depreciation, with a three-year useful life and 20% salvage value, in the "Rental Product Depreciation and Revenue Share" line ⁽¹⁾ </w:t>
            </w:r>
          </w:p>
        </w:tc>
        <w:tc>
          <w:tcPr>
            <w:tcW w:w="17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Manufacturing cost is capitalized as "Rental Products" in long-term assets</w:t>
            </w:r>
          </w:p>
        </w:tc>
        <w:tc>
          <w:tcPr>
            <w:tcW w:w="1930"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Upfront and, when applicable, revenue share payments flow through Net Income as incurred</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Manufacturing cost is recognized as a capital expenditure ("Purchases of Rental Product") at time of acquisition</w:t>
            </w:r>
          </w:p>
        </w:tc>
        <w:tc>
          <w:tcPr>
            <w:tcW w:w="63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22% / 28% / 31% </w:t>
            </w:r>
          </w:p>
        </w:tc>
      </w:tr>
      <w:tr>
        <w:trPr/>
        <w:tc>
          <w:tcPr>
            <w:tcW w:w="10205" w:type="dxa"/>
            <w:gridSpan w:val="18"/>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additional details, refer to the section titled "Business - Our Unique Brand Partner Approach."</w:t>
            </w:r>
          </w:p>
        </w:tc>
      </w:tr>
      <w:tr>
        <w:trPr/>
        <w:tc>
          <w:tcPr>
            <w:tcW w:w="10205" w:type="dxa"/>
            <w:gridSpan w:val="18"/>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color w:val="000000"/>
              </w:rPr>
            </w:pPr>
            <w:r>
              <w:rPr>
                <w:color w:val="000000"/>
              </w:rPr>
              <w:t>⁽</w:t>
            </w:r>
            <w:r>
              <w:rPr>
                <w:rFonts w:ascii="Arial;sans-serif" w:hAnsi="Arial;sans-serif"/>
                <w:b w:val="false"/>
                <w:color w:val="000000"/>
                <w:sz w:val="20"/>
              </w:rPr>
              <w:t xml:space="preserve">¹⁾ The cost of accessory items, which made up less than 10% of the gross book value of rental product as of January 31, 2025, is recognized through straight-line depreciation with two-year useful life and 30% salvage value. </w:t>
            </w:r>
          </w:p>
        </w:tc>
      </w:tr>
      <w:tr>
        <w:trPr/>
        <w:tc>
          <w:tcPr>
            <w:tcW w:w="10205" w:type="dxa"/>
            <w:gridSpan w:val="18"/>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color w:val="000000"/>
              </w:rPr>
            </w:pPr>
            <w:r>
              <w:rPr>
                <w:color w:val="000000"/>
              </w:rPr>
              <w:t>⁽</w:t>
            </w:r>
            <w:r>
              <w:rPr>
                <w:rFonts w:ascii="Arial;sans-serif" w:hAnsi="Arial;sans-serif"/>
                <w:b w:val="false"/>
                <w:color w:val="000000"/>
                <w:sz w:val="20"/>
              </w:rPr>
              <w:t xml:space="preserve">²⁾ For Share by RTR and applicable Exclusive Designs, the Company shares a percentage of revenue less a logistics fee with the brand. This revenue includes (i) revenue attributable to each item in connection with one-time reserve rentals; (ii) revenue attributable to each item from Subscription (this is based on the number of days at home during a subscription period); and (iii) revenue attributable to each item in connection with Resale of such items, less any liquidation costs. Both the percentage of revenue, and the logistics fees, can vary depending on the brand partner. Most Share by RTR items earn revenue until a cap has been reached, at which point, title generally passes from the brand to the Company. </w:t>
            </w:r>
          </w:p>
        </w:tc>
      </w:tr>
      <w:tr>
        <w:trPr/>
        <w:tc>
          <w:tcPr>
            <w:tcW w:w="10205" w:type="dxa"/>
            <w:gridSpan w:val="18"/>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0"/>
              </w:rPr>
              <w:t xml:space="preserve">³⁾ Also includes a small number of products bearing our trademarks, which are non-Exclusive Designs produced by third-party partners, or our owned brands. These products are purchased at a significantly lower average cost than Wholesale.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details about our business model and our product acquisition strategy, see Part I, 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Key Factors Affecting Our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performance and future success depend on a variety of factors that present significant opportunities for our business, but also present risks and challenges that could adversely impact our growth and profitability.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Subscribers and Customers</w:t>
      </w:r>
    </w:p>
    <w:p>
      <w:pPr>
        <w:pStyle w:val="TextBody"/>
        <w:bidi w:val="0"/>
        <w:spacing w:lineRule="auto" w:line="288" w:before="180" w:after="283"/>
        <w:jc w:val="left"/>
        <w:rPr/>
      </w:pPr>
      <w:r>
        <w:rPr>
          <w:rFonts w:ascii="Arial;sans-serif" w:hAnsi="Arial;sans-serif"/>
          <w:b/>
          <w:i/>
          <w:color w:val="000000"/>
          <w:sz w:val="20"/>
        </w:rPr>
        <w:t>Ability to Attract and Retain Subscribers and Customers and Our Attractive Cohort Trends.</w:t>
      </w:r>
      <w:r>
        <w:rPr>
          <w:color w:val="000000"/>
        </w:rPr>
        <w:t xml:space="preserve"> </w:t>
      </w:r>
      <w:r>
        <w:rPr>
          <w:rFonts w:ascii="Arial;sans-serif" w:hAnsi="Arial;sans-serif"/>
          <w:b w:val="false"/>
          <w:color w:val="000000"/>
          <w:sz w:val="20"/>
        </w:rPr>
        <w:t>We believe that we have a significant market opportunity to increase our base of subscribers and customers, and that our long-term growth depends in large part on our continued ability to acquire and retain subscribers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rental product. Our acquisitions are also reliant on new customer promotions. Our promotional strategy is subject to change depending on business and market conditions. In fiscal year 2024, we have focused, and plan to continue to focus in fiscal year 2025, on improving both the availability of and satisfaction with our rental product for our Reserve and Subscription customers.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the depth of our rental product purchases to improve rental product in-stock levels. We increased the depth of our rental product further in fiscal year 2024 and experienced better customer retention for fiscal year 2024 versus fiscal year 2023. In fiscal year 2025, we plan to focus on significantly increasing the quantity and quality of rental product purchases, which we believe will increase customer satisfaction and improve retention further. We are also focused on new product features as well as more personal customer service and styling.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partly assess the health of our business by analyzing the performance of our historical customer cohorts over time. We place customers in cohorts based on the fiscal year in which they first transacted with RTR. A significant portion of our total revenue in each fiscal year is generated from customers acquired in previous years. For example, approximately one-third of our revenue in fiscal year 2024 was generated by customers who placed their first order with us in fiscal year 2018 or prior.</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also assess the productivity of our historical customer cohorts by measuring the revenue and profit we generate from all new customers over their lifetime (“LTV”) against customer acquisition costs (“CAC”). We define LTV as cumulative total revenue generated across all of our product offerings (which includes Subscription and Reserve Rental Revenue and Other Revenue) by current or previous subscribers or customers, minus fulfillment expenses, rental product depreciation and revenue share expenses, credit card fees and customer service personnel and related expenses incurred to generate such revenue divided by the number of new customers acquired during that period. Any LTV generated by a customer is assigned to the original cohort year that the customer first joined. We define CAC as total marketing expense, excluding marketing personnel and related costs incurred in a fiscal year divided by the number of new customers acquired in that period. We acquire customers efficiently as evidenced by over a majority of our lifetime customers having joined organically.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seen in the table below, our LTV to CAC ratio has remained relatively consistent for our fiscal year 2018 through fiscal year 2024 customer cohorts, with the exception of our fiscal year 2020 cohort which was impacted by the COVID-19 pandemic. The fiscal year 2021 cohort, which benefited from strong loyalty post-recovery from the pandemic, exhibited an LTV to CAC ratio of 0.7x in its first six months and 1.3x in its first twelve months, implying that we recovered our customer acquisition cost between six months and twelve months for this cohort. Our fiscal year 2024 cohort thus far is exhibiting an LTV to CAC ratio of 0.5x in its first six months. We anticipate that the improvement in customer retention due to the greater satisfaction with our rental product along with product experience improvements will benefit the lifetime value of our customer cohorts. The performance of our historical cohorts has been consistent as our more loyal customers continue to spend with us.</w:t>
      </w:r>
    </w:p>
    <w:p>
      <w:pPr>
        <w:pStyle w:val="TextBody"/>
        <w:bidi w:val="0"/>
        <w:spacing w:before="0" w:after="0"/>
        <w:jc w:val="left"/>
        <w:rPr/>
      </w:pPr>
      <w:r>
        <w:rPr/>
      </w:r>
    </w:p>
    <w:p>
      <w:pPr>
        <w:pStyle w:val="TextBody"/>
        <w:bidi w:val="0"/>
        <w:spacing w:before="0" w:after="0"/>
        <w:jc w:val="left"/>
        <w:rPr/>
      </w:pPr>
      <w:r>
        <w:rPr/>
        <w:drawing>
          <wp:inline distT="0" distB="0" distL="0" distR="0">
            <wp:extent cx="6057900" cy="2085975"/>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3"/>
                    <a:stretch>
                      <a:fillRect/>
                    </a:stretch>
                  </pic:blipFill>
                  <pic:spPr bwMode="auto">
                    <a:xfrm>
                      <a:off x="0" y="0"/>
                      <a:ext cx="6057900" cy="20859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Brands and Products</w:t>
      </w:r>
    </w:p>
    <w:p>
      <w:pPr>
        <w:pStyle w:val="TextBody"/>
        <w:bidi w:val="0"/>
        <w:spacing w:lineRule="auto" w:line="288" w:before="180" w:after="283"/>
        <w:jc w:val="left"/>
        <w:rPr/>
      </w:pPr>
      <w:r>
        <w:rPr>
          <w:rFonts w:ascii="Arial;sans-serif" w:hAnsi="Arial;sans-serif"/>
          <w:b/>
          <w:i/>
          <w:color w:val="000000"/>
          <w:sz w:val="20"/>
        </w:rPr>
        <w:t xml:space="preserve">Ability to Acquire, Manage and Monetize Products Efficiently. </w:t>
      </w:r>
      <w:r>
        <w:rPr>
          <w:rFonts w:ascii="Arial;sans-serif" w:hAnsi="Arial;sans-serif"/>
          <w:b w:val="false"/>
          <w:color w:val="000000"/>
          <w:sz w:val="20"/>
        </w:rPr>
        <w:t>Our ability to deliver an elevated experience for our subscribers and</w:t>
      </w:r>
      <w:r>
        <w:rPr>
          <w:color w:val="000000"/>
        </w:rPr>
        <w:t xml:space="preserve"> </w:t>
      </w:r>
      <w:r>
        <w:rPr>
          <w:rFonts w:ascii="Arial;sans-serif" w:hAnsi="Arial;sans-serif"/>
          <w:b w:val="false"/>
          <w:color w:val="000000"/>
          <w:sz w:val="20"/>
        </w:rPr>
        <w:t>customers that keeps them loyal to RTR depends on us having the right assortment. For example, beginning in fiscal year 2023, we focused on enhancing the availability of rental product on our site by increasing the depths of our buys (i.e. acquiring more units of particular styles) and continued to pursue this strategy in fiscal year 2024.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2024, approximately 70% of new items were acquired through our more capital efficient non-Wholesale channels, compared to 61% in fiscal year 2023 and 58% in fiscal year 2022. We plan to further increase the percentage of units acquired through Exclusive Designs and Share by RTR on a combined basis in fiscal year 2025. We continuously evaluate our product acquisition mix to maximize our strategic priorities.</w:t>
      </w:r>
    </w:p>
    <w:p>
      <w:pPr>
        <w:pStyle w:val="TextBody"/>
        <w:bidi w:val="0"/>
        <w:spacing w:before="18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2024 was 16% as a result of a greater proportion of rental product acquired through our Share by RTR channel combined with fewer units of rental product purchased compared to fiscal year 2023. Purchases of rental product as a percentage of revenue was 26% and 21% in fiscal year 2023 and 2022, respectively. We anticipate this percentage to increase in fiscal year 2025 compared with fiscal year 2024, despite a greater proportion of Share by RTR units, due to a significant increase in units of rental product purchased. Due to seasonality factors, we track our progress on purchases of rental product as a percentage of revenue on a full year basis, as quarterly expenditures are not necessarily reflective of full year trends. As of January 31, 2025, the quarterly and annual spend levels for rental product capital expenditures for fiscal year 2025 under our 2025 Amended Facility have not yet been finalized. Pursuant to the 2025 Amended Facility, the deadline to agree on such levels was extended from March 31, 2025 to May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7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68" w:before="0" w:after="0"/>
        <w:jc w:val="left"/>
        <w:rPr/>
      </w:pPr>
      <w:r>
        <w:rPr>
          <w:rFonts w:ascii="Arial;sans-serif" w:hAnsi="Arial;sans-serif"/>
          <w:b/>
          <w:i/>
          <w:color w:val="000000"/>
          <w:sz w:val="20"/>
        </w:rPr>
        <w:t xml:space="preserve">Ability to Achieve Leverage in our Cost Structure. </w:t>
      </w:r>
      <w:r>
        <w:rPr>
          <w:rFonts w:ascii="Arial;sans-serif" w:hAnsi="Arial;sans-serif"/>
          <w:b w:val="false"/>
          <w:color w:val="000000"/>
          <w:sz w:val="20"/>
        </w:rPr>
        <w:t>Improving operational efficiency of our platform is imperative to increasing profitability. We expect certain of our operating 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Though we anticipate quarterly fluctuations in operating leverage, we expect our fixed costs to decrease as a percentage of total revenue in fiscal year 2025, and over time we anticipate that our operating costs will grow more slowly than our total revenue on an annual basis. As of January 31, 2025, the quarterly and annual spend levels for rental product capital expenditures for fiscal year 2025 under our 2025 Amended Facility have not yet been finalized. Pursuant to the 2025 Amended Facility, the deadline to agree on such levels was extended from March 31, 2025 to May 30, 2025.</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2025 Amended Facility reduced our cash interest payments during fiscal year 2024 and reduces our cash interest payments during fiscal year 2025 relative to the original agreement, which we expect to improve our overall liquidity.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experience seasonality in our business, which has been impacted due to the effects of COVID-19, the macro environment, and business decisions and may in the future continue to evolve.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offering historically (prior to COVID-19) benefited from increased wedding and holiday events but this seasonality has varied since the onset of COVID-19. For example, in fiscal year 2022, we believe that a price increase of our Subscription programs in April 2022 affected traditional seasonal patterns. In fiscal year 2023, changes in rental product in-stock levels and changes to promotional prices also disrupted typical seasonality. However, in fiscal year 2024, we observed more typical seasonal patterns. Given continued business changes, our future seasonality may not resemble historical trends. </w:t>
      </w:r>
    </w:p>
    <w:p>
      <w:pPr>
        <w:pStyle w:val="TextBody"/>
        <w:bidi w:val="0"/>
        <w:spacing w:before="12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additional information, see the section of Part I, Item 1A, “Risk Factors — Risks Relating To Our Business and Industry — Our business is affected by seasonality.”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7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Impact of Macro and Consumer Environment on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and other costs associated with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during the first quarter of fiscal year 2024, and expect to raise wages in the first quarter of fiscal year 2025, to attract and retain talent at our fulfillment centers. We expect to continue to be impacted by rising labor costs in the future. Transportation costs decreased as a percentage of revenue in fiscal year 2024 due to higher revenue per order and the benefits of our September 2023 transportation contract with a major national carrier. While we expect to be able to reduce transportation costs as a percentage of revenue for fiscal year 2025, we plan to continue to mitigate longer-term rising costs by seeking to optimize shipping methods and improve contractual and pricing terms; however, unpredictable changes in global trade policies and tariffs or other significant macroeconomic or geopolitical developments may negatively impact our ability to meet our current expectations and objectives. Although we continue to face a challenging and unpredictable environment, we plan to invest in our customers, manage our staffing and further leverage our transportation partners to help to drive growth and efficiencies in our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r>
        <w:rPr>
          <w:rFonts w:ascii="Arial;sans-serif" w:hAnsi="Arial;sans-serif"/>
          <w:b w:val="false"/>
          <w:color w:val="000000"/>
          <w:sz w:val="20"/>
          <w:shd w:fill="FFFFFF" w:val="clear"/>
        </w:rPr>
        <w:t xml:space="preserve">. For additional details, see Part I, Item 1A, “Risk Factors”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Key Business and Financial Metrics</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tbl>
      <w:tblPr>
        <w:tblW w:w="6266" w:type="dxa"/>
        <w:jc w:val="left"/>
        <w:tblInd w:w="0" w:type="dxa"/>
        <w:tblLayout w:type="fixed"/>
        <w:tblCellMar>
          <w:top w:w="28" w:type="dxa"/>
          <w:left w:w="28" w:type="dxa"/>
          <w:bottom w:w="28" w:type="dxa"/>
          <w:right w:w="28" w:type="dxa"/>
        </w:tblCellMar>
      </w:tblPr>
      <w:tblGrid>
        <w:gridCol w:w="924"/>
        <w:gridCol w:w="811"/>
        <w:gridCol w:w="814"/>
        <w:gridCol w:w="211"/>
        <w:gridCol w:w="646"/>
        <w:gridCol w:w="109"/>
        <w:gridCol w:w="109"/>
        <w:gridCol w:w="109"/>
        <w:gridCol w:w="109"/>
        <w:gridCol w:w="211"/>
        <w:gridCol w:w="706"/>
        <w:gridCol w:w="109"/>
        <w:gridCol w:w="109"/>
        <w:gridCol w:w="109"/>
        <w:gridCol w:w="109"/>
        <w:gridCol w:w="211"/>
        <w:gridCol w:w="70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Years Ended January 31, </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Subscribers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Active Subscribers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(1)Adjusted EBITDA is a non-GAAP financial measure; for a reconciliation to the most directly comparable U.S. GAAP financial measure, net loss, and why we consider Adjusted EBITDA to be a useful metric, see “—Non-GAAP Financial Metrics” below.</w:t>
      </w:r>
    </w:p>
    <w:p>
      <w:pPr>
        <w:pStyle w:val="TextBody"/>
        <w:bidi w:val="0"/>
        <w:spacing w:before="0" w:after="120"/>
        <w:jc w:val="left"/>
        <w:rPr/>
      </w:pPr>
      <w:r>
        <w:rPr/>
      </w:r>
    </w:p>
    <w:p>
      <w:pPr>
        <w:pStyle w:val="TextBody"/>
        <w:bidi w:val="0"/>
        <w:spacing w:lineRule="auto" w:line="268" w:before="0" w:after="0"/>
        <w:jc w:val="left"/>
        <w:rPr/>
      </w:pPr>
      <w:r>
        <w:rPr>
          <w:rFonts w:ascii="Arial;sans-serif" w:hAnsi="Arial;sans-serif"/>
          <w:b/>
          <w:color w:val="000000"/>
          <w:sz w:val="20"/>
          <w:shd w:fill="FFFFFF" w:val="clear"/>
        </w:rPr>
        <w:t>Active Subscribers</w:t>
      </w:r>
      <w:r>
        <w:rPr>
          <w:rFonts w:ascii="Arial;sans-serif" w:hAnsi="Arial;sans-serif"/>
          <w:b w:val="false"/>
          <w:color w:val="000000"/>
          <w:sz w:val="20"/>
          <w:shd w:fill="FFFFFF" w:val="clear"/>
        </w:rPr>
        <w:t>: Active Subscribers represents the number of subscribers with an active membership as of the last day of any given period</w:t>
      </w:r>
      <w:r>
        <w:rPr>
          <w:color w:val="000000"/>
        </w:rPr>
        <w:t xml:space="preserve"> </w:t>
      </w:r>
      <w:r>
        <w:rPr>
          <w:rFonts w:ascii="Arial;sans-serif" w:hAnsi="Arial;sans-serif"/>
          <w:b w:val="false"/>
          <w:color w:val="000000"/>
          <w:sz w:val="20"/>
        </w:rPr>
        <w:t>and excludes paused subscribers. As of January 31, 2025, we had 119,778 Active Subscribers, a decrease from 125,954 as of January 31, 2024. The decrease in active subscribers was driven primarily by lower acquisitions during the year compared to the prior year due to a change in promotional strategy during the second quarter of fiscal year 2024 versus the same quarter last year and a reduction in marketing spend. The decrease in acquisitions was partially offset by improved subscriber retention.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shd w:fill="FFFFFF" w:val="clear"/>
        </w:rPr>
        <w:t xml:space="preserve">Average Active Subscribers: </w:t>
      </w:r>
      <w:r>
        <w:rPr>
          <w:rFonts w:ascii="Arial;sans-serif" w:hAnsi="Arial;sans-serif"/>
          <w:b w:val="false"/>
          <w:color w:val="000000"/>
          <w:sz w:val="20"/>
          <w:shd w:fill="FFFFFF" w:val="clear"/>
        </w:rPr>
        <w:t xml:space="preserve">Average Active Subscribers represents the mean of the beginning of quarter and end of quarter Active Subscribers for a quarterly period; and for other periods, represents the mean of the Average Active Subscribers of every quarter within that period. As of </w:t>
      </w:r>
      <w:r>
        <w:rPr>
          <w:rFonts w:ascii="Arial;sans-serif" w:hAnsi="Arial;sans-serif"/>
          <w:b w:val="false"/>
          <w:color w:val="000000"/>
          <w:sz w:val="20"/>
        </w:rPr>
        <w:t>January 31, 2025</w:t>
      </w:r>
      <w:r>
        <w:rPr>
          <w:rFonts w:ascii="Arial;sans-serif" w:hAnsi="Arial;sans-serif"/>
          <w:b w:val="false"/>
          <w:color w:val="000000"/>
          <w:sz w:val="20"/>
          <w:shd w:fill="FFFFFF" w:val="clear"/>
        </w:rPr>
        <w:t xml:space="preserve">, we had </w:t>
      </w:r>
      <w:r>
        <w:rPr>
          <w:rFonts w:ascii="Arial;sans-serif" w:hAnsi="Arial;sans-serif"/>
          <w:b w:val="false"/>
          <w:color w:val="000000"/>
          <w:sz w:val="20"/>
        </w:rPr>
        <w:t>132,574</w:t>
      </w:r>
      <w:r>
        <w:rPr>
          <w:color w:val="000000"/>
          <w:shd w:fill="FFFFFF" w:val="clear"/>
        </w:rPr>
        <w:t xml:space="preserve"> </w:t>
      </w:r>
      <w:r>
        <w:rPr>
          <w:rFonts w:ascii="Arial;sans-serif" w:hAnsi="Arial;sans-serif"/>
          <w:b w:val="false"/>
          <w:color w:val="000000"/>
          <w:sz w:val="20"/>
          <w:shd w:fill="FFFFFF" w:val="clear"/>
        </w:rPr>
        <w:t xml:space="preserve">Average Active Subscribers, a decrease from </w:t>
      </w:r>
      <w:r>
        <w:rPr>
          <w:rFonts w:ascii="Arial;sans-serif" w:hAnsi="Arial;sans-serif"/>
          <w:b w:val="false"/>
          <w:color w:val="000000"/>
          <w:sz w:val="20"/>
        </w:rPr>
        <w:t>135,211</w:t>
      </w:r>
      <w:r>
        <w:rPr>
          <w:color w:val="000000"/>
          <w:shd w:fill="FFFFFF" w:val="clear"/>
        </w:rPr>
        <w:t xml:space="preserve"> </w:t>
      </w:r>
      <w:r>
        <w:rPr>
          <w:rFonts w:ascii="Arial;sans-serif" w:hAnsi="Arial;sans-serif"/>
          <w:b w:val="false"/>
          <w:color w:val="000000"/>
          <w:sz w:val="20"/>
          <w:shd w:fill="FFFFFF" w:val="clear"/>
        </w:rPr>
        <w:t xml:space="preserve">as of </w:t>
      </w:r>
      <w:r>
        <w:rPr>
          <w:rFonts w:ascii="Arial;sans-serif" w:hAnsi="Arial;sans-serif"/>
          <w:b w:val="false"/>
          <w:color w:val="000000"/>
          <w:sz w:val="20"/>
        </w:rPr>
        <w:t>January 31, 2024</w:t>
      </w:r>
      <w:r>
        <w:rPr>
          <w:rFonts w:ascii="Arial;sans-serif" w:hAnsi="Arial;sans-serif"/>
          <w:b w:val="false"/>
          <w:color w:val="000000"/>
          <w:sz w:val="20"/>
          <w:shd w:fill="FFFFFF" w:val="clear"/>
        </w:rPr>
        <w:t xml:space="preserve">. </w:t>
      </w:r>
      <w:r>
        <w:rPr>
          <w:rFonts w:ascii="Arial;sans-serif" w:hAnsi="Arial;sans-serif"/>
          <w:b w:val="false"/>
          <w:color w:val="000000"/>
          <w:sz w:val="20"/>
        </w:rPr>
        <w:t>The decline in average active subscribers was primarily due to lower acquisitions during the year compared to the prior year. The decrease in acquisitions was partially offset by improved subscriber retention.</w:t>
      </w:r>
    </w:p>
    <w:p>
      <w:pPr>
        <w:pStyle w:val="TextBody"/>
        <w:bidi w:val="0"/>
        <w:spacing w:lineRule="auto" w:line="288" w:before="180" w:after="283"/>
        <w:jc w:val="left"/>
        <w:rPr/>
      </w:pPr>
      <w:r>
        <w:rPr>
          <w:rFonts w:ascii="Arial;sans-serif" w:hAnsi="Arial;sans-serif"/>
          <w:b/>
          <w:color w:val="000000"/>
          <w:sz w:val="20"/>
          <w:shd w:fill="FFFFFF" w:val="clear"/>
        </w:rPr>
        <w:t xml:space="preserve">Gross Profit and Gross Margin: </w:t>
      </w:r>
      <w:r>
        <w:rPr>
          <w:rFonts w:ascii="Arial;sans-serif" w:hAnsi="Arial;sans-serif"/>
          <w:b w:val="false"/>
          <w:color w:val="000000"/>
          <w:sz w:val="20"/>
          <w:shd w:fill="FFFFFF" w:val="clear"/>
        </w:rPr>
        <w:t xml:space="preserve">We define Gross Profit as total revenue less costs related to activities to fulfill customer orders and rental product acquisition costs, presented as fulfillment and rental product depreciation and revenue share, respectively, on the consolidated statement of operations. </w:t>
      </w:r>
      <w:r>
        <w:rPr>
          <w:rFonts w:ascii="Arial;sans-serif" w:hAnsi="Arial;sans-serif"/>
          <w:b w:val="false"/>
          <w:color w:val="000000"/>
          <w:sz w:val="20"/>
        </w:rPr>
        <w:t>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Gross Profit was $115.9 million for the year ended January 31, 2025 compared to $119.7 million for the year ended January 31, 2024 representing Gross Margins of 37.9% and 40.1%, respectively. Gross Profit and Gross Margin for the year ended January 31, 2025 decreased due to the impact of higher revenue share costs and rental product depreciation as a percentage of sales, partially offset by lower fulfillment costs as a percentage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pPr>
      <w:r>
        <w:rPr>
          <w:rFonts w:ascii="Arial;sans-serif" w:hAnsi="Arial;sans-serif"/>
          <w:b/>
          <w:color w:val="000000"/>
          <w:sz w:val="20"/>
          <w:shd w:fill="FFFFFF" w:val="clear"/>
        </w:rPr>
        <w:t>Adjusted EBITDA and Adjusted EBITDA Margin: </w:t>
      </w:r>
      <w:r>
        <w:rPr>
          <w:rFonts w:ascii="Arial;sans-serif" w:hAnsi="Arial;sans-serif"/>
          <w:b w:val="false"/>
          <w:color w:val="000000"/>
          <w:sz w:val="20"/>
          <w:shd w:fill="FFFFFF" w:val="clear"/>
        </w:rPr>
        <w:t>We define Adjusted EBITDA as net loss, adjusted to exclude interest expense, rental product depreciation, other depreciation and amortization, share-based compensation expense, write-off of liquidated assets, non-recurring adjustments, non-ordinary course legal expenses, restructuring charges, loss on asset impairment related to restructuring, income tax (benefit) expense, other income and expense, and other gains / losses. Adjusted EBITDA margin as Adjusted EBITDA calculated as a percentage of total revenue, net for a period.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Loss was $(69.9) million for the year ended January 31, 2025 compared to $(113.2) million for the year ended January 31, 2024, representing margins of (22.8)% and (38.0)%, respectively. Net Loss improved year over year primarily due to our fixed cost reduction efforts, lower stock based compensation, lower net interest expense, and higher revenue partially offset by higher rental product depreciation and revenue share expenses. Adjusted EBITDA was $46.9 million for the year ended January 31, 2025 compared to $26.9 million for the year ended January 31, 2024, representing margins of 15.3% and 9.0%, respectively. Adjusted EBITDA margin improved year over year due to our fixed cost reduction efforts, higher revenue, lower marketing expenses, and lower fulfillment costs partially offset by higher revenue share payments due to a greater proportion of revenue share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we have the opportunity to improve Adjusted EBITDA and offset cost increases as we increase revenue and drive operating expense leverage.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240" w:after="283"/>
        <w:jc w:val="left"/>
        <w:rPr/>
      </w:pPr>
      <w:r>
        <w:rPr>
          <w:rFonts w:ascii="Arial;sans-serif" w:hAnsi="Arial;sans-serif"/>
          <w:b/>
          <w:i/>
          <w:color w:val="000000"/>
          <w:sz w:val="20"/>
        </w:rPr>
        <w:t xml:space="preserve">Total Revenue, Net. </w:t>
      </w:r>
      <w:r>
        <w:rPr>
          <w:rFonts w:ascii="Arial;sans-serif" w:hAnsi="Arial;sans-serif"/>
          <w:b w:val="false"/>
          <w:color w:val="000000"/>
          <w:sz w:val="20"/>
        </w:rPr>
        <w:t xml:space="preserve">Our total revenue, net consists of Subscription and Reserve rental revenue and Other revenue. Total revenue is presented net of promotional discounts, credits and refunds and taxes. </w:t>
      </w:r>
    </w:p>
    <w:p>
      <w:pPr>
        <w:pStyle w:val="TextBody"/>
        <w:bidi w:val="0"/>
        <w:spacing w:lineRule="auto" w:line="288" w:before="180" w:after="283"/>
        <w:jc w:val="left"/>
        <w:rPr/>
      </w:pPr>
      <w:r>
        <w:rPr>
          <w:rFonts w:ascii="Arial;sans-serif" w:hAnsi="Arial;sans-serif"/>
          <w:b/>
          <w:i/>
          <w:color w:val="000000"/>
          <w:sz w:val="20"/>
        </w:rPr>
        <w:t>Subscription and Reserve Rental Revenue.</w:t>
      </w:r>
      <w:r>
        <w:rPr>
          <w:color w:val="000000"/>
        </w:rPr>
        <w:t>    </w:t>
      </w:r>
      <w:r>
        <w:rPr>
          <w:rFonts w:ascii="Arial;sans-serif" w:hAnsi="Arial;sans-serif"/>
          <w:b w:val="false"/>
          <w:color w:val="000000"/>
          <w:sz w:val="20"/>
        </w:rPr>
        <w:t>We generate Subscription and Reserve rental revenue from subscription and Reserve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Reserve fees over the rental period, which starts on the date of delivery of the product to the 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pStyle w:val="TextBody"/>
        <w:bidi w:val="0"/>
        <w:spacing w:lineRule="auto" w:line="288" w:before="180" w:after="283"/>
        <w:jc w:val="left"/>
        <w:rPr/>
      </w:pPr>
      <w:r>
        <w:rPr>
          <w:rFonts w:ascii="Arial;sans-serif" w:hAnsi="Arial;sans-serif"/>
          <w:b/>
          <w:i/>
          <w:color w:val="000000"/>
          <w:sz w:val="20"/>
        </w:rPr>
        <w:t>Other Revenue.</w:t>
      </w:r>
      <w:r>
        <w:rPr>
          <w:color w:val="000000"/>
        </w:rPr>
        <w:t>    </w:t>
      </w:r>
      <w:r>
        <w:rPr>
          <w:rFonts w:ascii="Arial;sans-serif" w:hAnsi="Arial;sans-serif"/>
          <w:b w:val="false"/>
          <w:color w:val="000000"/>
          <w:sz w:val="20"/>
        </w:rPr>
        <w:t>We generate Other revenue primarily from the sale of products while they are in rental condition. We offer the ability for 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Costs and Expenses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Fulfillment.    </w:t>
      </w:r>
      <w:r>
        <w:rPr>
          <w:rFonts w:ascii="Arial;sans-serif" w:hAnsi="Arial;sans-serif"/>
          <w:b w:val="false"/>
          <w:color w:val="000000"/>
          <w:sz w:val="20"/>
        </w:rPr>
        <w:t>Fulfillment expenses consist of all costs to receive, process and fulfill customer orders. This primarily includes shipping costs 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 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68" w:before="0" w:after="0"/>
        <w:jc w:val="left"/>
        <w:rPr/>
      </w:pPr>
      <w:r>
        <w:rPr>
          <w:rFonts w:ascii="Arial;sans-serif" w:hAnsi="Arial;sans-serif"/>
          <w:b/>
          <w:i/>
          <w:color w:val="000000"/>
          <w:sz w:val="20"/>
        </w:rPr>
        <w:t>Technology.</w:t>
      </w:r>
      <w:r>
        <w:rPr>
          <w:color w:val="000000"/>
        </w:rPr>
        <w:t>    </w:t>
      </w:r>
      <w:r>
        <w:rPr>
          <w:rFonts w:ascii="Arial;sans-serif" w:hAnsi="Arial;sans-serif"/>
          <w:b w:val="false"/>
          <w:color w:val="000000"/>
          <w:sz w:val="20"/>
        </w:rPr>
        <w:t>Technology expenses consist of personnel and related costs for employees engaged in software development and 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pStyle w:val="TextBody"/>
        <w:bidi w:val="0"/>
        <w:spacing w:lineRule="auto" w:line="288" w:before="18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 xml:space="preserve">Marketing expenses include online and mobile marketing, search engine optimization and email costs, marketing personnel and related costs, agency fees, brand marketing, printed collateral, consumer research, and other related costs. Marketing expenses unrelated to personnel costs may increase if we increase marketing spend to drive the growth of our business and increase our brand awareness. </w:t>
      </w:r>
    </w:p>
    <w:p>
      <w:pPr>
        <w:pStyle w:val="TextBody"/>
        <w:bidi w:val="0"/>
        <w:spacing w:lineRule="auto" w:line="288" w:before="180" w:after="283"/>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consist of all other personnel and related costs for customer 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to incur lower fixed cost G&amp;A as a percentage of revenue in the short term due to higher expected revenue driving operating leverage.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pStyle w:val="TextBody"/>
        <w:bidi w:val="0"/>
        <w:spacing w:lineRule="auto" w:line="288" w:before="180" w:after="283"/>
        <w:jc w:val="left"/>
        <w:rPr/>
      </w:pPr>
      <w:r>
        <w:rPr>
          <w:rFonts w:ascii="Arial;sans-serif" w:hAnsi="Arial;sans-serif"/>
          <w:b/>
          <w:i/>
          <w:color w:val="000000"/>
          <w:sz w:val="20"/>
        </w:rPr>
        <w:t>Rental Product Depreciation and Revenue Share.</w:t>
      </w:r>
      <w:r>
        <w:rPr>
          <w:color w:val="000000"/>
        </w:rPr>
        <w:t>    </w:t>
      </w:r>
      <w:r>
        <w:rPr>
          <w:rFonts w:ascii="Arial;sans-serif" w:hAnsi="Arial;sans-serif"/>
          <w:b w:val="false"/>
          <w:color w:val="000000"/>
          <w:sz w:val="20"/>
        </w:rPr>
        <w:t>Rental product depreciation and revenue share expenses consist of 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pStyle w:val="TextBody"/>
        <w:bidi w:val="0"/>
        <w:spacing w:lineRule="auto" w:line="288" w:before="180" w:after="283"/>
        <w:jc w:val="left"/>
        <w:rPr/>
      </w:pPr>
      <w:r>
        <w:rPr>
          <w:rFonts w:ascii="Arial;sans-serif" w:hAnsi="Arial;sans-serif"/>
          <w:b/>
          <w:i/>
          <w:color w:val="000000"/>
          <w:sz w:val="20"/>
        </w:rPr>
        <w:t>Other Depreciation and Amortization.</w:t>
      </w:r>
      <w:r>
        <w:rPr>
          <w:color w:val="000000"/>
        </w:rPr>
        <w:t>    </w:t>
      </w:r>
      <w:r>
        <w:rPr>
          <w:rFonts w:ascii="Arial;sans-serif" w:hAnsi="Arial;sans-serif"/>
          <w:b w:val="false"/>
          <w:color w:val="000000"/>
          <w:sz w:val="20"/>
        </w:rPr>
        <w:t>Other depreciation and amortization expenses consist of depreciation and amortization amounts for fixed assets, intangible assets including capitalized software, and financing right-of-use assets.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Restructuring Charges</w:t>
      </w:r>
      <w:r>
        <w:rPr>
          <w:rFonts w:ascii="Arial;sans-serif" w:hAnsi="Arial;sans-serif"/>
          <w:b w:val="false"/>
          <w:color w:val="000000"/>
          <w:sz w:val="20"/>
        </w:rPr>
        <w:t>. Restructuring charges consist of severance and related costs associated with the January 2024 and September 2022 restructuring plans.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Loss on Asset Impairment Related to Restructuring</w:t>
      </w:r>
      <w:r>
        <w:rPr>
          <w:rFonts w:ascii="Arial;sans-serif" w:hAnsi="Arial;sans-serif"/>
          <w:b w:val="false"/>
          <w:color w:val="000000"/>
          <w:sz w:val="20"/>
        </w:rPr>
        <w:t>. Loss on asset impairment related to restructuring consists of asset impairment charges related to the discontinuation of a software implementation project and two warehouse operations projects in connection with the January 2024 and September 2022 restructuring plans.</w:t>
      </w:r>
    </w:p>
    <w:p>
      <w:pPr>
        <w:pStyle w:val="TextBody"/>
        <w:bidi w:val="0"/>
        <w:spacing w:lineRule="auto" w:line="288" w:before="180" w:after="283"/>
        <w:jc w:val="left"/>
        <w:rPr/>
      </w:pPr>
      <w:r>
        <w:rPr>
          <w:rFonts w:ascii="Arial;sans-serif" w:hAnsi="Arial;sans-serif"/>
          <w:b/>
          <w:i/>
          <w:color w:val="000000"/>
          <w:sz w:val="20"/>
        </w:rPr>
        <w:t>Interest Income / (Expense).</w:t>
      </w:r>
      <w:r>
        <w:rPr>
          <w:color w:val="000000"/>
          <w:shd w:fill="FFFFFF" w:val="clear"/>
        </w:rPr>
        <w:t>    </w:t>
      </w:r>
      <w:r>
        <w:rPr>
          <w:rFonts w:ascii="Arial;sans-serif" w:hAnsi="Arial;sans-serif"/>
          <w:b w:val="false"/>
          <w:color w:val="000000"/>
          <w:sz w:val="20"/>
        </w:rPr>
        <w:t xml:space="preserve">Interest income / (expense) consists primarily of accrued paid-in-kind interest, cash interest and debt issuance cost amortization associated with our 2025 Amended Facility going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2023 Amended Temasek Facility eliminated all interest (both payment-in-kind and cash interest) for a period of six full fiscal quarters beginning with the fourth quarter of fiscal year 2023.</w:t>
      </w:r>
    </w:p>
    <w:p>
      <w:pPr>
        <w:pStyle w:val="TextBody"/>
        <w:bidi w:val="0"/>
        <w:spacing w:lineRule="auto" w:line="288" w:before="180" w:after="283"/>
        <w:jc w:val="left"/>
        <w:rPr/>
      </w:pPr>
      <w:r>
        <w:rPr>
          <w:rFonts w:ascii="Arial;sans-serif" w:hAnsi="Arial;sans-serif"/>
          <w:b/>
          <w:i/>
          <w:color w:val="000000"/>
          <w:sz w:val="20"/>
        </w:rPr>
        <w:t>Other Income / (Expense).</w:t>
      </w:r>
      <w:r>
        <w:rPr>
          <w:color w:val="000000"/>
          <w:shd w:fill="FFFFFF" w:val="clear"/>
        </w:rPr>
        <w:t>    </w:t>
      </w:r>
      <w:r>
        <w:rPr>
          <w:rFonts w:ascii="Arial;sans-serif" w:hAnsi="Arial;sans-serif"/>
          <w:b w:val="false"/>
          <w:color w:val="000000"/>
          <w:sz w:val="20"/>
        </w:rPr>
        <w:t>Other income / (expense) consists primarily of proceeds from monetizing tax credits associated with growth and Irish refundable tax credits.</w:t>
      </w:r>
    </w:p>
    <w:p>
      <w:pPr>
        <w:pStyle w:val="TextBody"/>
        <w:bidi w:val="0"/>
        <w:spacing w:lineRule="auto" w:line="288" w:before="180" w:after="283"/>
        <w:jc w:val="left"/>
        <w:rPr/>
      </w:pPr>
      <w:r>
        <w:rPr>
          <w:rFonts w:ascii="Arial;sans-serif" w:hAnsi="Arial;sans-serif"/>
          <w:b/>
          <w:i/>
          <w:color w:val="000000"/>
          <w:sz w:val="20"/>
        </w:rPr>
        <w:t>Income Tax Benefit / (Expense).</w:t>
      </w:r>
      <w:r>
        <w:rPr>
          <w:color w:val="000000"/>
          <w:shd w:fill="FFFFFF" w:val="clear"/>
        </w:rPr>
        <w:t>    </w:t>
      </w:r>
      <w:r>
        <w:rPr>
          <w:rFonts w:ascii="Arial;sans-serif" w:hAnsi="Arial;sans-serif"/>
          <w:b w:val="false"/>
          <w:color w:val="000000"/>
          <w:sz w:val="20"/>
        </w:rPr>
        <w:t>Income taxes consist primarily of state minimum and foreign taxes. We have 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results of operations presented below should be reviewed in conjunction with the consolidated financial statements and notes included elsewhere in this Annual Report on Form 10-K. The following tables set forth our results of operations for the periods presented:</w:t>
      </w:r>
    </w:p>
    <w:tbl>
      <w:tblPr>
        <w:tblW w:w="9154" w:type="dxa"/>
        <w:jc w:val="left"/>
        <w:tblInd w:w="0" w:type="dxa"/>
        <w:tblLayout w:type="fixed"/>
        <w:tblCellMar>
          <w:top w:w="28" w:type="dxa"/>
          <w:left w:w="28" w:type="dxa"/>
          <w:bottom w:w="28" w:type="dxa"/>
          <w:right w:w="28" w:type="dxa"/>
        </w:tblCellMar>
      </w:tblPr>
      <w:tblGrid>
        <w:gridCol w:w="1587"/>
        <w:gridCol w:w="1393"/>
        <w:gridCol w:w="1400"/>
        <w:gridCol w:w="211"/>
        <w:gridCol w:w="646"/>
        <w:gridCol w:w="109"/>
        <w:gridCol w:w="109"/>
        <w:gridCol w:w="109"/>
        <w:gridCol w:w="109"/>
        <w:gridCol w:w="211"/>
        <w:gridCol w:w="706"/>
        <w:gridCol w:w="109"/>
        <w:gridCol w:w="109"/>
        <w:gridCol w:w="109"/>
        <w:gridCol w:w="109"/>
        <w:gridCol w:w="211"/>
        <w:gridCol w:w="706"/>
        <w:gridCol w:w="1211"/>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Years Ended January 31, </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 net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Fulfillment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i/>
          <w:color w:val="000000"/>
          <w:sz w:val="20"/>
          <w:shd w:fill="FFFFFF" w:val="clear"/>
        </w:rPr>
        <w:t>Comparison of the years ended January 31,</w:t>
      </w:r>
      <w:r>
        <w:rPr>
          <w:color w:val="000000"/>
        </w:rPr>
        <w:t xml:space="preserve"> </w:t>
      </w:r>
      <w:r>
        <w:rPr>
          <w:rFonts w:ascii="Arial;sans-serif" w:hAnsi="Arial;sans-serif"/>
          <w:b/>
          <w:i/>
          <w:color w:val="000000"/>
          <w:sz w:val="20"/>
        </w:rPr>
        <w:t>2025</w:t>
      </w:r>
      <w:r>
        <w:rPr>
          <w:color w:val="000000"/>
          <w:shd w:fill="FFFFFF" w:val="clear"/>
        </w:rPr>
        <w:t xml:space="preserve"> </w:t>
      </w:r>
      <w:r>
        <w:rPr>
          <w:rFonts w:ascii="Arial;sans-serif" w:hAnsi="Arial;sans-serif"/>
          <w:b/>
          <w:i/>
          <w:color w:val="000000"/>
          <w:sz w:val="20"/>
          <w:shd w:fill="FFFFFF" w:val="clear"/>
        </w:rPr>
        <w:t xml:space="preserve">and </w:t>
      </w:r>
      <w:r>
        <w:rPr>
          <w:rFonts w:ascii="Arial;sans-serif" w:hAnsi="Arial;sans-serif"/>
          <w:b/>
          <w:i/>
          <w:color w:val="000000"/>
          <w:sz w:val="20"/>
        </w:rPr>
        <w:t>2024</w:t>
      </w:r>
    </w:p>
    <w:p>
      <w:pPr>
        <w:pStyle w:val="TextBody"/>
        <w:bidi w:val="0"/>
        <w:spacing w:lineRule="auto" w:line="288" w:before="240" w:after="283"/>
        <w:jc w:val="left"/>
        <w:rPr/>
      </w:pPr>
      <w:r>
        <w:rPr>
          <w:rFonts w:ascii="Arial;sans-serif" w:hAnsi="Arial;sans-serif"/>
          <w:b/>
          <w:i/>
          <w:color w:val="000000"/>
          <w:sz w:val="20"/>
          <w:shd w:fill="FFFFFF" w:val="clear"/>
        </w:rPr>
        <w:t>Total Revenue, Net.</w:t>
      </w:r>
      <w:r>
        <w:rPr>
          <w:color w:val="000000"/>
          <w:shd w:fill="FFFFFF" w:val="clear"/>
        </w:rPr>
        <w:t>    </w:t>
      </w:r>
      <w:r>
        <w:rPr>
          <w:rFonts w:ascii="Arial;sans-serif" w:hAnsi="Arial;sans-serif"/>
          <w:b w:val="false"/>
          <w:color w:val="000000"/>
          <w:sz w:val="20"/>
          <w:shd w:fill="FFFFFF" w:val="clear"/>
        </w:rPr>
        <w:t>Total revenue, net was $</w:t>
      </w:r>
      <w:r>
        <w:rPr>
          <w:rFonts w:ascii="Arial;sans-serif" w:hAnsi="Arial;sans-serif"/>
          <w:b w:val="false"/>
          <w:color w:val="000000"/>
          <w:sz w:val="20"/>
        </w:rPr>
        <w:t>306.2</w:t>
      </w:r>
      <w:r>
        <w:rPr>
          <w:color w:val="000000"/>
          <w:shd w:fill="FFFFFF" w:val="clear"/>
        </w:rPr>
        <w:t> </w:t>
      </w:r>
      <w:r>
        <w:rPr>
          <w:rFonts w:ascii="Arial;sans-serif" w:hAnsi="Arial;sans-serif"/>
          <w:b w:val="false"/>
          <w:color w:val="000000"/>
          <w:sz w:val="20"/>
          <w:shd w:fill="FFFFFF" w:val="clear"/>
        </w:rPr>
        <w:t>million for the year ended January 31, 2025, an increase of $8.0 million, or 2.7%, compared to $298.2 million for the year ended January 31, 2024. This increase was primarily driven by the increase in units purchased per subscriber combined with an increase in Reserve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2025, we expect revenue to increase as we work towards growing our customer base, improving the customer experience and continuing to focus on our resale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56" w:before="180" w:after="283"/>
        <w:jc w:val="left"/>
        <w:rPr/>
      </w:pPr>
      <w:r>
        <w:rPr>
          <w:rFonts w:ascii="Arial;sans-serif" w:hAnsi="Arial;sans-serif"/>
          <w:b/>
          <w:i/>
          <w:color w:val="000000"/>
          <w:sz w:val="20"/>
          <w:shd w:fill="FFFFFF" w:val="clear"/>
        </w:rPr>
        <w:t>Subscription and Reserve Rental Revenue.</w:t>
      </w:r>
      <w:r>
        <w:rPr>
          <w:color w:val="000000"/>
          <w:shd w:fill="FFFFFF" w:val="clear"/>
        </w:rPr>
        <w:t>    </w:t>
      </w:r>
      <w:r>
        <w:rPr>
          <w:rFonts w:ascii="Arial;sans-serif" w:hAnsi="Arial;sans-serif"/>
          <w:b w:val="false"/>
          <w:color w:val="000000"/>
          <w:sz w:val="20"/>
          <w:shd w:fill="FFFFFF" w:val="clear"/>
        </w:rPr>
        <w:t xml:space="preserve">Subscription and Reserve rental revenue was $265.5 million for the year ended January 31, 2025, an increase of $0.6 million, or 0.2%, compared to $264.9 million for the year ended January 31, 2024. </w:t>
      </w:r>
      <w:r>
        <w:rPr>
          <w:rFonts w:ascii="Arial;sans-serif" w:hAnsi="Arial;sans-serif"/>
          <w:b w:val="false"/>
          <w:color w:val="000000"/>
          <w:sz w:val="20"/>
        </w:rPr>
        <w:t xml:space="preserve">This increase </w:t>
      </w:r>
      <w:r>
        <w:rPr>
          <w:rFonts w:ascii="Arial;sans-serif" w:hAnsi="Arial;sans-serif"/>
          <w:b w:val="false"/>
          <w:color w:val="000000"/>
          <w:sz w:val="20"/>
          <w:shd w:fill="FFFFFF" w:val="clear"/>
        </w:rPr>
        <w:t xml:space="preserve">was primarily </w:t>
      </w:r>
      <w:r>
        <w:rPr>
          <w:rFonts w:ascii="Arial;sans-serif" w:hAnsi="Arial;sans-serif"/>
          <w:b w:val="false"/>
          <w:color w:val="000000"/>
          <w:sz w:val="20"/>
        </w:rPr>
        <w:t>driven by an increase in Reserve revenue compared to the same period last year.</w:t>
      </w:r>
    </w:p>
    <w:p>
      <w:pPr>
        <w:pStyle w:val="TextBody"/>
        <w:bidi w:val="0"/>
        <w:spacing w:lineRule="auto" w:line="256" w:before="180" w:after="283"/>
        <w:jc w:val="left"/>
        <w:rPr/>
      </w:pPr>
      <w:r>
        <w:rPr>
          <w:rFonts w:ascii="Arial;sans-serif" w:hAnsi="Arial;sans-serif"/>
          <w:b/>
          <w:i/>
          <w:color w:val="000000"/>
          <w:sz w:val="20"/>
          <w:shd w:fill="FFFFFF" w:val="clear"/>
        </w:rPr>
        <w:t>Other Revenue.</w:t>
      </w:r>
      <w:r>
        <w:rPr>
          <w:color w:val="000000"/>
          <w:shd w:fill="FFFFFF" w:val="clear"/>
        </w:rPr>
        <w:t>    </w:t>
      </w:r>
      <w:r>
        <w:rPr>
          <w:rFonts w:ascii="Arial;sans-serif" w:hAnsi="Arial;sans-serif"/>
          <w:b w:val="false"/>
          <w:color w:val="000000"/>
          <w:sz w:val="20"/>
          <w:shd w:fill="FFFFFF" w:val="clear"/>
        </w:rPr>
        <w:t xml:space="preserve">Other revenue was $40.7 million for the year ended January 31, 2025, an increase of $7.4 million, or </w:t>
      </w:r>
      <w:r>
        <w:rPr>
          <w:rFonts w:ascii="Arial;sans-serif" w:hAnsi="Arial;sans-serif"/>
          <w:b w:val="false"/>
          <w:color w:val="000000"/>
          <w:sz w:val="20"/>
        </w:rPr>
        <w:t>22.2%</w:t>
      </w:r>
      <w:r>
        <w:rPr>
          <w:rFonts w:ascii="Arial;sans-serif" w:hAnsi="Arial;sans-serif"/>
          <w:b w:val="false"/>
          <w:color w:val="000000"/>
          <w:sz w:val="20"/>
          <w:shd w:fill="FFFFFF" w:val="clear"/>
        </w:rPr>
        <w:t>, compared to $33.3 million for the year ended January 31, 2024. This increase was primarily driven by an increase in the items purchased per subscriber and an increase in the average selling price per unit. Other revenue represented 13.3% of total revenue, up from 11.2% in the same period last year.</w:t>
      </w:r>
    </w:p>
    <w:p>
      <w:pPr>
        <w:pStyle w:val="TextBody"/>
        <w:bidi w:val="0"/>
        <w:spacing w:lineRule="auto" w:line="288" w:before="180" w:after="283"/>
        <w:jc w:val="left"/>
        <w:rPr/>
      </w:pPr>
      <w:r>
        <w:rPr>
          <w:rFonts w:ascii="Arial;sans-serif" w:hAnsi="Arial;sans-serif"/>
          <w:b/>
          <w:i/>
          <w:color w:val="000000"/>
          <w:sz w:val="20"/>
          <w:shd w:fill="FFFFFF" w:val="clear"/>
        </w:rPr>
        <w:t>Costs and Expenses.</w:t>
      </w:r>
      <w:r>
        <w:rPr>
          <w:color w:val="000000"/>
          <w:shd w:fill="FFFFFF" w:val="clear"/>
        </w:rPr>
        <w:t>    </w:t>
      </w:r>
      <w:r>
        <w:rPr>
          <w:rFonts w:ascii="Arial;sans-serif" w:hAnsi="Arial;sans-serif"/>
          <w:b w:val="false"/>
          <w:color w:val="000000"/>
          <w:sz w:val="20"/>
          <w:shd w:fill="FFFFFF" w:val="clear"/>
        </w:rPr>
        <w:t xml:space="preserve">Total costs and expenses were $353.7 million for the year ended January 31, 2025, a decrease of $(24.5) million, or </w:t>
      </w:r>
      <w:r>
        <w:rPr>
          <w:rFonts w:ascii="Arial;sans-serif" w:hAnsi="Arial;sans-serif"/>
          <w:b w:val="false"/>
          <w:color w:val="000000"/>
          <w:sz w:val="20"/>
        </w:rPr>
        <w:t>(6.4)%</w:t>
      </w:r>
      <w:r>
        <w:rPr>
          <w:rFonts w:ascii="Arial;sans-serif" w:hAnsi="Arial;sans-serif"/>
          <w:b w:val="false"/>
          <w:color w:val="000000"/>
          <w:sz w:val="20"/>
          <w:shd w:fill="FFFFFF" w:val="clear"/>
        </w:rPr>
        <w:t xml:space="preserve">, compared to $378.2 million for the year ended January 31, 2024. This decrease was </w:t>
      </w:r>
      <w:r>
        <w:rPr>
          <w:rFonts w:ascii="Arial;sans-serif" w:hAnsi="Arial;sans-serif"/>
          <w:b w:val="false"/>
          <w:color w:val="000000"/>
          <w:sz w:val="20"/>
        </w:rPr>
        <w:t xml:space="preserve">primarily </w:t>
      </w:r>
      <w:r>
        <w:rPr>
          <w:rFonts w:ascii="Arial;sans-serif" w:hAnsi="Arial;sans-serif"/>
          <w:b w:val="false"/>
          <w:color w:val="000000"/>
          <w:sz w:val="20"/>
          <w:shd w:fill="FFFFFF" w:val="clear"/>
        </w:rPr>
        <w:t>driven</w:t>
      </w:r>
      <w:r>
        <w:rPr>
          <w:color w:val="000000"/>
        </w:rPr>
        <w:t xml:space="preserve"> </w:t>
      </w:r>
      <w:r>
        <w:rPr>
          <w:rFonts w:ascii="Arial;sans-serif" w:hAnsi="Arial;sans-serif"/>
          <w:b w:val="false"/>
          <w:color w:val="000000"/>
          <w:sz w:val="20"/>
        </w:rPr>
        <w:t>by cost savings from the January 2024 restructuring plan, lower share-based compensation expense, lower marketing expense, improvement in warehouse labor productivity, and lower hosting costs which reduced costs compared to the same period last year, offset by higher rental product depreciation and revenue share.</w:t>
      </w:r>
    </w:p>
    <w:p>
      <w:pPr>
        <w:pStyle w:val="TextBody"/>
        <w:bidi w:val="0"/>
        <w:spacing w:lineRule="auto" w:line="288" w:before="180" w:after="283"/>
        <w:jc w:val="left"/>
        <w:rPr/>
      </w:pPr>
      <w:r>
        <w:rPr>
          <w:rFonts w:ascii="Arial;sans-serif" w:hAnsi="Arial;sans-serif"/>
          <w:b/>
          <w:i/>
          <w:color w:val="000000"/>
          <w:sz w:val="20"/>
          <w:shd w:fill="FFFFFF" w:val="clear"/>
        </w:rPr>
        <w:t>Fulfillment.</w:t>
      </w:r>
      <w:r>
        <w:rPr>
          <w:color w:val="000000"/>
          <w:shd w:fill="FFFFFF" w:val="clear"/>
        </w:rPr>
        <w:t>    </w:t>
      </w:r>
      <w:r>
        <w:rPr>
          <w:rFonts w:ascii="Arial;sans-serif" w:hAnsi="Arial;sans-serif"/>
          <w:b w:val="false"/>
          <w:color w:val="000000"/>
          <w:sz w:val="20"/>
          <w:shd w:fill="FFFFFF" w:val="clear"/>
        </w:rPr>
        <w:t>Fulfillment expenses were $82.8 million for the year ended January 31, 2025, a decrease of $(3.2) million, or (3.7)%, representing</w:t>
      </w:r>
      <w:r>
        <w:rPr>
          <w:color w:val="000000"/>
        </w:rPr>
        <w:t xml:space="preserve"> </w:t>
      </w:r>
      <w:r>
        <w:rPr>
          <w:rFonts w:ascii="Arial;sans-serif" w:hAnsi="Arial;sans-serif"/>
          <w:b w:val="false"/>
          <w:color w:val="000000"/>
          <w:sz w:val="20"/>
        </w:rPr>
        <w:t>27.0%</w:t>
      </w:r>
      <w:r>
        <w:rPr>
          <w:color w:val="000000"/>
          <w:shd w:fill="FFFFFF" w:val="clear"/>
        </w:rPr>
        <w:t xml:space="preserve"> </w:t>
      </w:r>
      <w:r>
        <w:rPr>
          <w:rFonts w:ascii="Arial;sans-serif" w:hAnsi="Arial;sans-serif"/>
          <w:b w:val="false"/>
          <w:color w:val="000000"/>
          <w:sz w:val="20"/>
          <w:shd w:fill="FFFFFF" w:val="clear"/>
        </w:rPr>
        <w:t>of revenue, compared to $86.0 million for the year ended January 31, 2024, representing</w:t>
      </w:r>
      <w:r>
        <w:rPr>
          <w:color w:val="000000"/>
        </w:rPr>
        <w:t xml:space="preserve"> </w:t>
      </w:r>
      <w:r>
        <w:rPr>
          <w:rFonts w:ascii="Arial;sans-serif" w:hAnsi="Arial;sans-serif"/>
          <w:b w:val="false"/>
          <w:color w:val="000000"/>
          <w:sz w:val="20"/>
        </w:rPr>
        <w:t xml:space="preserve">28.8% </w:t>
      </w:r>
      <w:r>
        <w:rPr>
          <w:rFonts w:ascii="Arial;sans-serif" w:hAnsi="Arial;sans-serif"/>
          <w:b w:val="false"/>
          <w:color w:val="000000"/>
          <w:sz w:val="20"/>
          <w:shd w:fill="FFFFFF" w:val="clear"/>
        </w:rPr>
        <w:t xml:space="preserve">of revenue. </w:t>
      </w:r>
      <w:r>
        <w:rPr>
          <w:rFonts w:ascii="Arial;sans-serif" w:hAnsi="Arial;sans-serif"/>
          <w:b w:val="false"/>
          <w:color w:val="000000"/>
          <w:sz w:val="20"/>
        </w:rPr>
        <w:t>The decrease in fulfillment dollars and as a percentage of revenue was primarily driven by warehouse processing cost efficiencies and higher revenue per shipment that offset an increase in wage rates during the first quarter of fiscal year 2024</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2025, we expect fulfillment expenses as a percentage of total revenue to decrease compared to fiscal year 2024 as a result of anticipated higher revenue per order and continued processing efficiencies.</w:t>
      </w:r>
    </w:p>
    <w:p>
      <w:pPr>
        <w:pStyle w:val="TextBody"/>
        <w:bidi w:val="0"/>
        <w:spacing w:lineRule="auto" w:line="288" w:before="180" w:after="283"/>
        <w:jc w:val="left"/>
        <w:rPr/>
      </w:pPr>
      <w:r>
        <w:rPr>
          <w:rFonts w:ascii="Arial;sans-serif" w:hAnsi="Arial;sans-serif"/>
          <w:b/>
          <w:i/>
          <w:color w:val="000000"/>
          <w:sz w:val="20"/>
        </w:rPr>
        <w:t>Technology.</w:t>
      </w:r>
      <w:r>
        <w:rPr>
          <w:color w:val="000000"/>
        </w:rPr>
        <w:t>    </w:t>
      </w:r>
      <w:r>
        <w:rPr>
          <w:rFonts w:ascii="Arial;sans-serif" w:hAnsi="Arial;sans-serif"/>
          <w:b w:val="false"/>
          <w:color w:val="000000"/>
          <w:sz w:val="20"/>
        </w:rPr>
        <w:t>Technology expenses were $35.7 million for the year ended January 31, 2025, a decrease of $(13.4) million, or (27.3)%, compared to $49.1 million for the year ended January 31, 2024. This decrease was driven primarily by cost savings from the January 2024 restructuring plan, other cost saving initiatives and lower share-based compensation expense. We were able to realize these benefits while supporting growth initiatives including enhanced checkout completion and search, fit and discovery experience for the consumer. Technology expenses were 11.7% of revenue for the year ended January 31, 2025 compared to 16.5% for the same period last year as we saw increased operating leverage with higher revenue and a lower cost base post-restructuring. Technology related share-based compensation expense was $1.9 million for the year ended January 31, 2025 and was $5.5 million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2025, we expect technology expenses to decrease as a percentage of total revenue compared to fiscal year 2024 as a result of improved operating leverage due to higher expected revenue.</w:t>
      </w:r>
    </w:p>
    <w:p>
      <w:pPr>
        <w:pStyle w:val="TextBody"/>
        <w:bidi w:val="0"/>
        <w:spacing w:lineRule="auto" w:line="288" w:before="180" w:after="283"/>
        <w:jc w:val="left"/>
        <w:rPr/>
      </w:pPr>
      <w:r>
        <w:rPr>
          <w:rFonts w:ascii="Arial;sans-serif" w:hAnsi="Arial;sans-serif"/>
          <w:b/>
          <w:i/>
          <w:color w:val="000000"/>
          <w:sz w:val="20"/>
          <w:shd w:fill="FFFFFF" w:val="clear"/>
        </w:rPr>
        <w:t>Marketing.</w:t>
      </w:r>
      <w:r>
        <w:rPr>
          <w:color w:val="000000"/>
          <w:shd w:fill="FFFFFF" w:val="clear"/>
        </w:rPr>
        <w:t>    </w:t>
      </w:r>
      <w:r>
        <w:rPr>
          <w:rFonts w:ascii="Arial;sans-serif" w:hAnsi="Arial;sans-serif"/>
          <w:b w:val="false"/>
          <w:color w:val="000000"/>
          <w:sz w:val="20"/>
          <w:shd w:fill="FFFFFF" w:val="clear"/>
        </w:rPr>
        <w:t xml:space="preserve">Marketing expenses were $28.2 million for the year ended January 31, 2025, a decrease of $(3.0) million, or (9.6)%, compared to $31.2 million for the year ended January 31, 2024. This decrease </w:t>
      </w:r>
      <w:r>
        <w:rPr>
          <w:rFonts w:ascii="Arial;sans-serif" w:hAnsi="Arial;sans-serif"/>
          <w:b w:val="false"/>
          <w:color w:val="000000"/>
          <w:sz w:val="20"/>
        </w:rPr>
        <w:t>was driven primarily by lower paid marketing expenditures. Marketing expenses unrelated to personnel costs were</w:t>
      </w:r>
      <w:r>
        <w:rPr>
          <w:color w:val="000000"/>
          <w:shd w:fill="FFFFFF" w:val="clear"/>
        </w:rPr>
        <w:t xml:space="preserve"> </w:t>
      </w:r>
      <w:r>
        <w:rPr>
          <w:rFonts w:ascii="Arial;sans-serif" w:hAnsi="Arial;sans-serif"/>
          <w:b w:val="false"/>
          <w:color w:val="000000"/>
          <w:sz w:val="20"/>
        </w:rPr>
        <w:t>$25.4</w:t>
      </w:r>
      <w:r>
        <w:rPr>
          <w:color w:val="000000"/>
          <w:shd w:fill="FFFFFF" w:val="clear"/>
        </w:rPr>
        <w:t> </w:t>
      </w:r>
      <w:r>
        <w:rPr>
          <w:rFonts w:ascii="Arial;sans-serif" w:hAnsi="Arial;sans-serif"/>
          <w:b w:val="false"/>
          <w:color w:val="000000"/>
          <w:sz w:val="20"/>
          <w:shd w:fill="FFFFFF" w:val="clear"/>
        </w:rPr>
        <w:t>million in the y</w:t>
      </w:r>
      <w:r>
        <w:rPr>
          <w:rFonts w:ascii="Arial;sans-serif" w:hAnsi="Arial;sans-serif"/>
          <w:b w:val="false"/>
          <w:color w:val="000000"/>
          <w:sz w:val="20"/>
        </w:rPr>
        <w:t>ear ended January 31, 2025 and 8.3% of revenue, compared to $28.5 million and 9.5% of total revenue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2025, we expect marketing expenses to decrease in dollars compared to fiscal year 2024. The timing of our marketing expenses during the year will depend in part on the timing of marketing campaigns.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were $86.8 million for the year ended January 31, 2025, a decrease of $(14.8) million, or (14.6)%, compared to $101.6 million for the year ended January 31, 2024. This decrease was driven primarily by lower share-based compensation expense and cost savings from the January 2024 restructuring plan. G&amp;A expenses as a percentage of revenue were 28.3%, compared to 34.1% last year, as we saw increased operating leverage with higher revenue and a lower cost base post-restructuring. G&amp;A related share-based compensation expense was $7.7 million for the year ended January 31, 2025 and was $20.5 million for the year ended January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fiscal year 2025, we expect G&amp;A expenses to decrease as a percentage of revenue compared to fiscal year 2024 due to operating leverage driven by higher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pPr>
      <w:r>
        <w:rPr>
          <w:rFonts w:ascii="Arial;sans-serif" w:hAnsi="Arial;sans-serif"/>
          <w:b/>
          <w:i/>
          <w:color w:val="000000"/>
          <w:sz w:val="20"/>
          <w:shd w:fill="FFFFFF" w:val="clear"/>
        </w:rPr>
        <w:t>Rental Product Depreciation and Revenue Share.    </w:t>
      </w:r>
      <w:r>
        <w:rPr>
          <w:rFonts w:ascii="Arial;sans-serif" w:hAnsi="Arial;sans-serif"/>
          <w:b w:val="false"/>
          <w:color w:val="000000"/>
          <w:sz w:val="20"/>
          <w:shd w:fill="FFFFFF" w:val="clear"/>
        </w:rPr>
        <w:t xml:space="preserve">Rental product depreciation and revenue share was $107.5 million for the year ended January 31, 2025, an increase of $15.0 million, or 16.2%, compared to $92.5 million for the year ended January 31, 2024. The </w:t>
      </w:r>
      <w:r>
        <w:rPr>
          <w:rFonts w:ascii="Arial;sans-serif" w:hAnsi="Arial;sans-serif"/>
          <w:b w:val="false"/>
          <w:color w:val="000000"/>
          <w:sz w:val="20"/>
        </w:rPr>
        <w:t>increase was primarily driven by higher Share by RTR units acquired, higher base of rental product and an increase in other revenue. Rental product depreciation and revenue share was 35.1% of revenue in the year ended January 31, 2025, up from 31.0% in the same period last year primarily due to the factors discussed above</w:t>
      </w:r>
      <w:r>
        <w:rPr>
          <w:rFonts w:ascii="Arial;sans-serif" w:hAnsi="Arial;sans-serif"/>
          <w:b w:val="false"/>
          <w:color w:val="000000"/>
          <w:sz w:val="20"/>
          <w:shd w:fill="FFFFFF" w:val="clear"/>
        </w:rPr>
        <w:t>.</w:t>
      </w:r>
    </w:p>
    <w:p>
      <w:pPr>
        <w:pStyle w:val="TextBody"/>
        <w:bidi w:val="0"/>
        <w:spacing w:lineRule="auto" w:line="288" w:before="180" w:after="283"/>
        <w:jc w:val="left"/>
        <w:rPr/>
      </w:pPr>
      <w:r>
        <w:rPr>
          <w:rFonts w:ascii="Arial;sans-serif" w:hAnsi="Arial;sans-serif"/>
          <w:b/>
          <w:i/>
          <w:color w:val="000000"/>
          <w:sz w:val="20"/>
          <w:shd w:fill="FFFFFF" w:val="clear"/>
        </w:rPr>
        <w:t>Other Depreciation and Amortization.</w:t>
      </w:r>
      <w:r>
        <w:rPr>
          <w:color w:val="000000"/>
          <w:shd w:fill="FFFFFF" w:val="clear"/>
        </w:rPr>
        <w:t>    </w:t>
      </w:r>
      <w:r>
        <w:rPr>
          <w:rFonts w:ascii="Arial;sans-serif" w:hAnsi="Arial;sans-serif"/>
          <w:b w:val="false"/>
          <w:color w:val="000000"/>
          <w:sz w:val="20"/>
          <w:shd w:fill="FFFFFF" w:val="clear"/>
        </w:rPr>
        <w:t>Other depreciation and amortization was $12.5 million for the year ended January 31, 2025, a decrease of $(2.2) million, or (15.0)%, compared to $14.7 million for the year ended January 31, 2024</w:t>
      </w:r>
      <w:r>
        <w:rPr>
          <w:rFonts w:ascii="Arial;sans-serif" w:hAnsi="Arial;sans-serif"/>
          <w:b w:val="false"/>
          <w:color w:val="000000"/>
          <w:sz w:val="20"/>
        </w:rPr>
        <w:t>. This decrease was primarily driven by lower depreciation and amortization associated with machinery and equipment and leasehold improvements.</w:t>
      </w:r>
    </w:p>
    <w:p>
      <w:pPr>
        <w:pStyle w:val="TextBody"/>
        <w:bidi w:val="0"/>
        <w:spacing w:lineRule="auto" w:line="288" w:before="240" w:after="283"/>
        <w:jc w:val="left"/>
        <w:rPr/>
      </w:pPr>
      <w:r>
        <w:rPr>
          <w:rFonts w:ascii="Arial;sans-serif" w:hAnsi="Arial;sans-serif"/>
          <w:b/>
          <w:i/>
          <w:color w:val="000000"/>
          <w:sz w:val="20"/>
        </w:rPr>
        <w:t>Restructuring Charges</w:t>
      </w:r>
      <w:r>
        <w:rPr>
          <w:rFonts w:ascii="Arial;sans-serif" w:hAnsi="Arial;sans-serif"/>
          <w:b w:val="false"/>
          <w:color w:val="000000"/>
          <w:sz w:val="20"/>
        </w:rPr>
        <w:t xml:space="preserve">. Restructuring charges were $0.2 million for the year ended January 31, 2025, a decrease of $(1.8) million, or (90.0)%, compared to $2.0 million for the year ended </w:t>
      </w:r>
      <w:r>
        <w:rPr>
          <w:rFonts w:ascii="Arial;sans-serif" w:hAnsi="Arial;sans-serif"/>
          <w:b w:val="false"/>
          <w:color w:val="000000"/>
          <w:sz w:val="20"/>
          <w:shd w:fill="FFFFFF" w:val="clear"/>
        </w:rPr>
        <w:t>January 31, 2024</w:t>
      </w:r>
      <w:r>
        <w:rPr>
          <w:rFonts w:ascii="Arial;sans-serif" w:hAnsi="Arial;sans-serif"/>
          <w:b w:val="false"/>
          <w:color w:val="000000"/>
          <w:sz w:val="20"/>
        </w:rPr>
        <w:t xml:space="preserve">. The restructuring charges during the years ended January 31, 2025 and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were for severance and related costs in connection with the January 2024 restructuring plan. These charges are reflected in Restructuring charges on our Consolidated Statement of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Corporate Restructuring Plan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 No restructuring charges were recognized during the three months ended January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January 2024 restructuring plan is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The restructuring plan was substantially completed by the end of the second quarter of fiscal year 2024 and is expected to be fully completed by the end of the first quarter of fiscal year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Note 4, “Restructuring and Related Charges” in the Notes to the Consolidated Financial Statements for more details on these charges.</w:t>
      </w:r>
    </w:p>
    <w:p>
      <w:pPr>
        <w:pStyle w:val="TextBody"/>
        <w:bidi w:val="0"/>
        <w:spacing w:lineRule="auto" w:line="288" w:before="240" w:after="283"/>
        <w:jc w:val="left"/>
        <w:rPr/>
      </w:pPr>
      <w:r>
        <w:rPr>
          <w:rFonts w:ascii="Arial;sans-serif" w:hAnsi="Arial;sans-serif"/>
          <w:b/>
          <w:i/>
          <w:color w:val="000000"/>
          <w:sz w:val="20"/>
        </w:rPr>
        <w:t>Loss on Asset Impairment Related to Restructuring</w:t>
      </w:r>
      <w:r>
        <w:rPr>
          <w:rFonts w:ascii="Arial;sans-serif" w:hAnsi="Arial;sans-serif"/>
          <w:b w:val="false"/>
          <w:color w:val="000000"/>
          <w:sz w:val="20"/>
        </w:rPr>
        <w:t xml:space="preserve">. Loss on asset impairment related to restructuring was $0.0 million for the year ended January 31, 2025, a decrease of $(1.1) million, or (100.0)%, compared to $1.1 million for the quarter and year ended </w:t>
      </w:r>
      <w:r>
        <w:rPr>
          <w:rFonts w:ascii="Arial;sans-serif" w:hAnsi="Arial;sans-serif"/>
          <w:b w:val="false"/>
          <w:color w:val="000000"/>
          <w:sz w:val="20"/>
          <w:shd w:fill="FFFFFF" w:val="clear"/>
        </w:rPr>
        <w:t>January 31, 2024</w:t>
      </w:r>
      <w:r>
        <w:rPr>
          <w:rFonts w:ascii="Arial;sans-serif" w:hAnsi="Arial;sans-serif"/>
          <w:b w:val="false"/>
          <w:color w:val="000000"/>
          <w:sz w:val="20"/>
        </w:rPr>
        <w:t xml:space="preserve">. The loss on asset impairment during the year ended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related to the discontinuation of a software implementation project in connection with the January 2024 restructuring plan. The charge is reflected in Loss on asset impairment related to restructuring on our Consolidated Statements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Interest Income / (Expense), Net.    </w:t>
      </w:r>
      <w:r>
        <w:rPr>
          <w:rFonts w:ascii="Arial;sans-serif" w:hAnsi="Arial;sans-serif"/>
          <w:b w:val="false"/>
          <w:color w:val="000000"/>
          <w:sz w:val="20"/>
          <w:shd w:fill="FFFFFF" w:val="clear"/>
        </w:rPr>
        <w:t xml:space="preserve">Interest expense, net was $(24.2) million for the year ended January 31, 2025, a decrease in expense of </w:t>
      </w:r>
      <w:r>
        <w:rPr>
          <w:rFonts w:ascii="Arial;sans-serif" w:hAnsi="Arial;sans-serif"/>
          <w:b w:val="false"/>
          <w:color w:val="000000"/>
          <w:sz w:val="20"/>
        </w:rPr>
        <w:t>$9.5</w:t>
      </w:r>
      <w:r>
        <w:rPr>
          <w:color w:val="000000"/>
          <w:shd w:fill="FFFFFF" w:val="clear"/>
        </w:rPr>
        <w:t> </w:t>
      </w:r>
      <w:r>
        <w:rPr>
          <w:rFonts w:ascii="Arial;sans-serif" w:hAnsi="Arial;sans-serif"/>
          <w:b w:val="false"/>
          <w:color w:val="000000"/>
          <w:sz w:val="20"/>
          <w:shd w:fill="FFFFFF" w:val="clear"/>
        </w:rPr>
        <w:t>million, or</w:t>
      </w:r>
      <w:r>
        <w:rPr>
          <w:color w:val="000000"/>
        </w:rPr>
        <w:t xml:space="preserve"> </w:t>
      </w:r>
      <w:r>
        <w:rPr>
          <w:rFonts w:ascii="Arial;sans-serif" w:hAnsi="Arial;sans-serif"/>
          <w:b w:val="false"/>
          <w:color w:val="000000"/>
          <w:sz w:val="20"/>
        </w:rPr>
        <w:t>(28.2)%</w:t>
      </w:r>
      <w:r>
        <w:rPr>
          <w:rFonts w:ascii="Arial;sans-serif" w:hAnsi="Arial;sans-serif"/>
          <w:b w:val="false"/>
          <w:color w:val="000000"/>
          <w:sz w:val="20"/>
          <w:shd w:fill="FFFFFF" w:val="clear"/>
        </w:rPr>
        <w:t xml:space="preserve">, compared to $(33.7) million for the year ended January 31, 2024. This decrease was </w:t>
      </w:r>
      <w:r>
        <w:rPr>
          <w:rFonts w:ascii="Arial;sans-serif" w:hAnsi="Arial;sans-serif"/>
          <w:b w:val="false"/>
          <w:color w:val="000000"/>
          <w:sz w:val="20"/>
        </w:rPr>
        <w:t>driven by lowered paid-in-kind (“PIK”) and cash interest from the 2025 Amended Facility, partially offset by higher debt discount amortization. Of the $(24.2) million total interest expense in the year ended January 31, 2025, $(27.0) million was debt discount amortization and $2.8 million was the net of interest earned, financing lease and other interest, compared to $(22.5) million of PIK interest, $0.5 million net of cash interest paid, cash interest earned, financing lease and other interest and $(11.7) million of debt discount amortization in the year ended January 31, 2024.</w:t>
      </w:r>
    </w:p>
    <w:p>
      <w:pPr>
        <w:pStyle w:val="TextBody"/>
        <w:bidi w:val="0"/>
        <w:spacing w:lineRule="auto" w:line="288" w:before="180" w:after="283"/>
        <w:jc w:val="left"/>
        <w:rPr/>
      </w:pPr>
      <w:r>
        <w:rPr>
          <w:rFonts w:ascii="Arial;sans-serif" w:hAnsi="Arial;sans-serif"/>
          <w:b/>
          <w:i/>
          <w:color w:val="000000"/>
          <w:sz w:val="20"/>
        </w:rPr>
        <w:t>Other Income / (Expense), Net.</w:t>
      </w:r>
      <w:r>
        <w:rPr>
          <w:color w:val="000000"/>
        </w:rPr>
        <w:t>    </w:t>
      </w:r>
      <w:r>
        <w:rPr>
          <w:rFonts w:ascii="Arial;sans-serif" w:hAnsi="Arial;sans-serif"/>
          <w:b w:val="false"/>
          <w:color w:val="000000"/>
          <w:sz w:val="20"/>
        </w:rPr>
        <w:t>O</w:t>
      </w:r>
      <w:r>
        <w:rPr>
          <w:rFonts w:ascii="Arial;sans-serif" w:hAnsi="Arial;sans-serif"/>
          <w:b w:val="false"/>
          <w:color w:val="000000"/>
          <w:sz w:val="20"/>
          <w:shd w:fill="FFFFFF" w:val="clear"/>
        </w:rPr>
        <w:t xml:space="preserve">ther income / (expense), net was $2.1 million for the year ended January 31, 2025, an increase of $1.4 million, compared to $0.7 million for the year ended January 31, 2024. </w:t>
      </w:r>
      <w:r>
        <w:rPr>
          <w:rFonts w:ascii="Arial;sans-serif" w:hAnsi="Arial;sans-serif"/>
          <w:b w:val="false"/>
          <w:color w:val="000000"/>
          <w:sz w:val="20"/>
        </w:rPr>
        <w:t xml:space="preserve">This increase was primarily driven by an increase in the monetization of tax credits and government grants.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Non-GAAP Financial Metrics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Annual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shd w:fill="FFFFFF" w:val="clear"/>
        </w:rPr>
        <w:t>Adjusted EBITDA and Adjusted EBITDA Margin.</w:t>
      </w:r>
      <w:r>
        <w:rPr>
          <w:color w:val="000000"/>
          <w:shd w:fill="FFFFFF" w:val="clear"/>
        </w:rPr>
        <w:t>    </w:t>
      </w:r>
      <w:r>
        <w:rPr>
          <w:rFonts w:ascii="Arial;sans-serif" w:hAnsi="Arial;sans-serif"/>
          <w:b w:val="false"/>
          <w:color w:val="000000"/>
          <w:sz w:val="20"/>
        </w:rPr>
        <w:t xml:space="preserve">Adjusted EBITDA and Adjusted EBITDA Margin are key performance measures used by management to assess our operating performance and the operating leverage of our business prior to capital expenditures. Net Loss was $(69.9) million for the year ended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 xml:space="preserve">compared to $(113.2) million for the year ended January 31, 2024, Net Loss as a percentage of revenue was (22.8)%, and (38.0)%, respectively, and included $0.2 million and $3.1 million of restructuring and related charges, respectively. Our Adjusted EBITDA was $46.9 million for the year ended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compared to $26.9 million for the year ended January 31, 2024, representing margins of 15.3% and 9.0%, respectively. Adjusted EBITDA Margin significantly improved for the</w:t>
      </w:r>
      <w:r>
        <w:rPr>
          <w:color w:val="000000"/>
          <w:shd w:fill="FFFFFF" w:val="clear"/>
        </w:rPr>
        <w:t xml:space="preserve"> </w:t>
      </w:r>
      <w:r>
        <w:rPr>
          <w:rFonts w:ascii="Arial;sans-serif" w:hAnsi="Arial;sans-serif"/>
          <w:b w:val="false"/>
          <w:color w:val="000000"/>
          <w:sz w:val="20"/>
          <w:shd w:fill="FFFFFF" w:val="clear"/>
        </w:rPr>
        <w:t>year ended January 31, 2025</w:t>
      </w:r>
      <w:r>
        <w:rPr>
          <w:color w:val="000000"/>
        </w:rPr>
        <w:t xml:space="preserve"> </w:t>
      </w:r>
      <w:r>
        <w:rPr>
          <w:rFonts w:ascii="Arial;sans-serif" w:hAnsi="Arial;sans-serif"/>
          <w:b w:val="false"/>
          <w:color w:val="000000"/>
          <w:sz w:val="20"/>
        </w:rPr>
        <w:t>due to our fixed cost reduction efforts, higher revenue and lower fulfillment costs partially offset by higher revenue share payments due to a greater proportion of revenue share units.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a reconciliation of net loss, the most comparable GAAP financial measure, to Adjusted EBITDA for the periods presented:</w:t>
      </w:r>
    </w:p>
    <w:tbl>
      <w:tblPr>
        <w:tblW w:w="9194" w:type="dxa"/>
        <w:jc w:val="left"/>
        <w:tblInd w:w="0" w:type="dxa"/>
        <w:tblLayout w:type="fixed"/>
        <w:tblCellMar>
          <w:top w:w="28" w:type="dxa"/>
          <w:left w:w="28" w:type="dxa"/>
          <w:bottom w:w="28" w:type="dxa"/>
          <w:right w:w="28" w:type="dxa"/>
        </w:tblCellMar>
      </w:tblPr>
      <w:tblGrid>
        <w:gridCol w:w="1687"/>
        <w:gridCol w:w="1483"/>
        <w:gridCol w:w="1494"/>
        <w:gridCol w:w="109"/>
        <w:gridCol w:w="109"/>
        <w:gridCol w:w="109"/>
        <w:gridCol w:w="211"/>
        <w:gridCol w:w="601"/>
        <w:gridCol w:w="286"/>
        <w:gridCol w:w="109"/>
        <w:gridCol w:w="109"/>
        <w:gridCol w:w="109"/>
        <w:gridCol w:w="211"/>
        <w:gridCol w:w="706"/>
        <w:gridCol w:w="286"/>
        <w:gridCol w:w="109"/>
        <w:gridCol w:w="109"/>
        <w:gridCol w:w="109"/>
        <w:gridCol w:w="211"/>
        <w:gridCol w:w="706"/>
        <w:gridCol w:w="331"/>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January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 of liquidated assets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Non-recurring adjustments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Non-ordinary course legal fees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(gains) / losses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as a 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pPr>
      <w:r>
        <w:rPr>
          <w:rFonts w:ascii="Arial;sans-serif" w:hAnsi="Arial;sans-serif"/>
          <w:b w:val="false"/>
          <w:i/>
          <w:color w:val="000000"/>
          <w:sz w:val="10"/>
        </w:rPr>
        <w:t>(1)</w:t>
      </w:r>
      <w:r>
        <w:rPr>
          <w:rFonts w:ascii="Arial;sans-serif" w:hAnsi="Arial;sans-serif"/>
          <w:b w:val="false"/>
          <w:color w:val="000000"/>
          <w:sz w:val="16"/>
        </w:rPr>
        <w:t xml:space="preserve">Includes debt discount amortization of $27.0 million in the year ended January 31, 2025, $11.7 million in the year ended January 31, 2024, and $4.3 million in the year ended January 31, 2023. </w:t>
      </w:r>
    </w:p>
    <w:p>
      <w:pPr>
        <w:pStyle w:val="TextBody"/>
        <w:bidi w:val="0"/>
        <w:spacing w:lineRule="auto" w:line="288" w:before="120" w:after="283"/>
        <w:ind w:left="0" w:right="0" w:hanging="360"/>
        <w:jc w:val="left"/>
        <w:rPr/>
      </w:pPr>
      <w:r>
        <w:rPr>
          <w:rFonts w:ascii="Arial;sans-serif" w:hAnsi="Arial;sans-serif"/>
          <w:b w:val="false"/>
          <w:i/>
          <w:color w:val="000000"/>
          <w:sz w:val="10"/>
        </w:rPr>
        <w:t>(2)</w:t>
      </w:r>
      <w:r>
        <w:rPr>
          <w:rFonts w:ascii="Arial;sans-serif" w:hAnsi="Arial;sans-serif"/>
          <w:b w:val="false"/>
          <w:color w:val="000000"/>
          <w:sz w:val="16"/>
        </w:rPr>
        <w:t>Reflects non-rental product depreciation and capitalized software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8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20" w:after="283"/>
        <w:ind w:left="0" w:right="0" w:hanging="360"/>
        <w:jc w:val="left"/>
        <w:rPr/>
      </w:pPr>
      <w:r>
        <w:rPr>
          <w:rFonts w:ascii="Arial;sans-serif" w:hAnsi="Arial;sans-serif"/>
          <w:b w:val="false"/>
          <w:i/>
          <w:color w:val="000000"/>
          <w:sz w:val="10"/>
        </w:rPr>
        <w:t>(3)</w:t>
      </w:r>
      <w:r>
        <w:rPr>
          <w:rFonts w:ascii="Arial;sans-serif" w:hAnsi="Arial;sans-serif"/>
          <w:b w:val="false"/>
          <w:color w:val="000000"/>
          <w:sz w:val="16"/>
        </w:rPr>
        <w:t>Reflects the non-cash expense for share-based compensation.</w:t>
      </w:r>
    </w:p>
    <w:p>
      <w:pPr>
        <w:pStyle w:val="TextBody"/>
        <w:bidi w:val="0"/>
        <w:spacing w:lineRule="auto" w:line="288" w:before="120" w:after="283"/>
        <w:ind w:left="0" w:right="0" w:hanging="360"/>
        <w:jc w:val="left"/>
        <w:rPr/>
      </w:pPr>
      <w:r>
        <w:rPr>
          <w:rFonts w:ascii="Arial;sans-serif" w:hAnsi="Arial;sans-serif"/>
          <w:b w:val="false"/>
          <w:i/>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288" w:before="120" w:after="283"/>
        <w:ind w:left="0" w:right="0" w:hanging="360"/>
        <w:jc w:val="left"/>
        <w:rPr/>
      </w:pPr>
      <w:r>
        <w:rPr>
          <w:rFonts w:ascii="Arial;sans-serif" w:hAnsi="Arial;sans-serif"/>
          <w:b w:val="false"/>
          <w:i/>
          <w:color w:val="000000"/>
          <w:sz w:val="10"/>
        </w:rPr>
        <w:t>(5)</w:t>
      </w:r>
      <w:r>
        <w:rPr>
          <w:rFonts w:ascii="Arial;sans-serif" w:hAnsi="Arial;sans-serif"/>
          <w:b w:val="false"/>
          <w:color w:val="000000"/>
          <w:sz w:val="16"/>
        </w:rPr>
        <w:t xml:space="preserve">Non-recurring adjustments for the year ended January 31, 2025 includes $0.1 million of costs related to one-time professional fees, for the year ended January 31, 2024 includes $1.7 million of costs primarily related to debt refinancing and related fees and the option exchange, and for the year ended January 31, 2023 includes $1.3 million of costs related to public company SOX readiness. </w:t>
      </w:r>
    </w:p>
    <w:p>
      <w:pPr>
        <w:pStyle w:val="TextBody"/>
        <w:bidi w:val="0"/>
        <w:spacing w:lineRule="auto" w:line="288" w:before="120" w:after="283"/>
        <w:ind w:left="0" w:right="0" w:hanging="360"/>
        <w:jc w:val="left"/>
        <w:rPr/>
      </w:pPr>
      <w:r>
        <w:rPr>
          <w:rFonts w:ascii="Arial;sans-serif" w:hAnsi="Arial;sans-serif"/>
          <w:b w:val="false"/>
          <w:i/>
          <w:color w:val="000000"/>
          <w:sz w:val="10"/>
        </w:rPr>
        <w:t>(6)</w:t>
      </w:r>
      <w:r>
        <w:rPr>
          <w:rFonts w:ascii="Arial;sans-serif" w:hAnsi="Arial;sans-serif"/>
          <w:b w:val="false"/>
          <w:color w:val="000000"/>
          <w:sz w:val="16"/>
        </w:rPr>
        <w:t xml:space="preserve">Non-ordinary course legal fees for the years ended January 31, 2025, 2024, and 2023 includes $0.3 million, $0.3 million, and $0.1 million, respectively, of costs related to a class action lawsuit. </w:t>
      </w:r>
    </w:p>
    <w:p>
      <w:pPr>
        <w:pStyle w:val="TextBody"/>
        <w:bidi w:val="0"/>
        <w:spacing w:lineRule="auto" w:line="288" w:before="120" w:after="283"/>
        <w:ind w:left="0" w:right="0" w:hanging="360"/>
        <w:jc w:val="left"/>
        <w:rPr/>
      </w:pPr>
      <w:r>
        <w:rPr>
          <w:rFonts w:ascii="Arial;sans-serif" w:hAnsi="Arial;sans-serif"/>
          <w:b w:val="false"/>
          <w:i/>
          <w:color w:val="000000"/>
          <w:sz w:val="10"/>
        </w:rPr>
        <w:t>(7)</w:t>
      </w:r>
      <w:r>
        <w:rPr>
          <w:rFonts w:ascii="Arial;sans-serif" w:hAnsi="Arial;sans-serif"/>
          <w:b w:val="false"/>
          <w:color w:val="000000"/>
          <w:sz w:val="16"/>
        </w:rPr>
        <w:t>Reflects restructuring charge primarily related to severance and related costs in connection with the January 2024 and September 2022 restructuring plans.</w:t>
      </w:r>
    </w:p>
    <w:p>
      <w:pPr>
        <w:pStyle w:val="TextBody"/>
        <w:bidi w:val="0"/>
        <w:spacing w:lineRule="auto" w:line="288" w:before="120" w:after="283"/>
        <w:ind w:left="0" w:right="0" w:hanging="360"/>
        <w:jc w:val="left"/>
        <w:rPr/>
      </w:pPr>
      <w:r>
        <w:rPr>
          <w:rFonts w:ascii="Arial;sans-serif" w:hAnsi="Arial;sans-serif"/>
          <w:b w:val="false"/>
          <w:i/>
          <w:color w:val="000000"/>
          <w:sz w:val="10"/>
        </w:rPr>
        <w:t>(8)</w:t>
      </w:r>
      <w:r>
        <w:rPr>
          <w:rFonts w:ascii="Arial;sans-serif" w:hAnsi="Arial;sans-serif"/>
          <w:b w:val="false"/>
          <w:color w:val="000000"/>
          <w:sz w:val="16"/>
        </w:rPr>
        <w:t>Reflects the asset impairment charges related to the discontinuation of a software implementation project in connection with the January 2024 restructuring plan in the year ended January 31, 2024 and the discontinuation of warehouse operations projects in connection with the September 2022 restructuring plan in the year ended January 31, 2023.</w:t>
      </w:r>
    </w:p>
    <w:p>
      <w:pPr>
        <w:pStyle w:val="TextBody"/>
        <w:bidi w:val="0"/>
        <w:spacing w:lineRule="auto" w:line="288" w:before="120" w:after="283"/>
        <w:ind w:left="0" w:right="0" w:hanging="360"/>
        <w:jc w:val="left"/>
        <w:rPr/>
      </w:pPr>
      <w:r>
        <w:rPr>
          <w:rFonts w:ascii="Arial;sans-serif" w:hAnsi="Arial;sans-serif"/>
          <w:b w:val="false"/>
          <w:i/>
          <w:color w:val="000000"/>
          <w:sz w:val="10"/>
        </w:rPr>
        <w:t>(9)</w:t>
      </w:r>
      <w:r>
        <w:rPr>
          <w:rFonts w:ascii="Arial;sans-serif" w:hAnsi="Arial;sans-serif"/>
          <w:b w:val="false"/>
          <w:color w:val="000000"/>
          <w:sz w:val="16"/>
        </w:rPr>
        <w:t>Primarily includes the monetization of tax credits and government grants for the years ended January 31, 2025 and January 31, 2023.</w:t>
      </w:r>
    </w:p>
    <w:p>
      <w:pPr>
        <w:pStyle w:val="TextBody"/>
        <w:bidi w:val="0"/>
        <w:spacing w:lineRule="auto" w:line="288" w:before="120" w:after="283"/>
        <w:ind w:left="0" w:right="0" w:hanging="360"/>
        <w:jc w:val="left"/>
        <w:rPr/>
      </w:pPr>
      <w:r>
        <w:rPr>
          <w:rFonts w:ascii="Arial;sans-serif" w:hAnsi="Arial;sans-serif"/>
          <w:b w:val="false"/>
          <w:i/>
          <w:color w:val="000000"/>
          <w:sz w:val="10"/>
        </w:rPr>
        <w:t>(10)</w:t>
      </w:r>
      <w:r>
        <w:rPr>
          <w:rFonts w:ascii="Arial;sans-serif" w:hAnsi="Arial;sans-serif"/>
          <w:b w:val="false"/>
          <w:color w:val="000000"/>
          <w:sz w:val="16"/>
        </w:rPr>
        <w:t>Includes gains / losses recognized in relation to foreign exchange, operating lease terminations and the related surrender of fixed assets (see “Note 5 - Leases – Lessee Accounting” in the Notes to the Consolidated Financial Statements).</w:t>
      </w:r>
    </w:p>
    <w:p>
      <w:pPr>
        <w:pStyle w:val="TextBody"/>
        <w:bidi w:val="0"/>
        <w:spacing w:lineRule="auto" w:line="288" w:before="120" w:after="283"/>
        <w:ind w:left="0" w:right="0" w:hanging="360"/>
        <w:jc w:val="left"/>
        <w:rPr/>
      </w:pPr>
      <w:r>
        <w:rPr>
          <w:rFonts w:ascii="Arial;sans-serif" w:hAnsi="Arial;sans-serif"/>
          <w:b w:val="false"/>
          <w:i/>
          <w:color w:val="000000"/>
          <w:sz w:val="10"/>
        </w:rPr>
        <w:t>(11)</w:t>
      </w:r>
      <w:r>
        <w:rPr>
          <w:rFonts w:ascii="Arial;sans-serif" w:hAnsi="Arial;sans-serif"/>
          <w:b w:val="false"/>
          <w:color w:val="000000"/>
          <w:sz w:val="16"/>
        </w:rPr>
        <w:t>Adjusted EBITDA Margin calculated as Adjusted EBITDA as a percentage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 xml:space="preserve">We have incurred net losses from operations of $(69.9) million for the year ended </w:t>
      </w:r>
      <w:r>
        <w:rPr>
          <w:rFonts w:ascii="Arial;sans-serif" w:hAnsi="Arial;sans-serif"/>
          <w:b w:val="false"/>
          <w:color w:val="000000"/>
          <w:sz w:val="20"/>
          <w:shd w:fill="FFFFFF" w:val="clear"/>
        </w:rPr>
        <w:t>January 31, 2025</w:t>
      </w:r>
      <w:r>
        <w:rPr>
          <w:rFonts w:ascii="Arial;sans-serif" w:hAnsi="Arial;sans-serif"/>
          <w:b w:val="false"/>
          <w:color w:val="000000"/>
          <w:sz w:val="20"/>
        </w:rPr>
        <w:t xml:space="preserve">, have incurred significant recurring net losses since inception, has an accumulated deficit of $(1,123.0) million as of </w:t>
      </w:r>
      <w:r>
        <w:rPr>
          <w:rFonts w:ascii="Arial;sans-serif" w:hAnsi="Arial;sans-serif"/>
          <w:b w:val="false"/>
          <w:color w:val="000000"/>
          <w:sz w:val="20"/>
          <w:shd w:fill="FFFFFF" w:val="clear"/>
        </w:rPr>
        <w:t>January 31, 2025</w:t>
      </w:r>
      <w:r>
        <w:rPr>
          <w:rFonts w:ascii="Arial;sans-serif" w:hAnsi="Arial;sans-serif"/>
          <w:b w:val="false"/>
          <w:color w:val="000000"/>
          <w:sz w:val="20"/>
        </w:rPr>
        <w:t xml:space="preserve">, and have historically relied upon debt and equity financing to fund our operations. Our cash flows from operations for the year ended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 xml:space="preserve">were $12.9 million. Cash out flows from investing activities were $(20.1) million for the year ended </w:t>
      </w:r>
      <w:r>
        <w:rPr>
          <w:rFonts w:ascii="Arial;sans-serif" w:hAnsi="Arial;sans-serif"/>
          <w:b w:val="false"/>
          <w:color w:val="000000"/>
          <w:sz w:val="20"/>
          <w:shd w:fill="FFFFFF" w:val="clear"/>
        </w:rPr>
        <w:t>January 31, 2025</w:t>
      </w:r>
      <w:r>
        <w:rPr>
          <w:rFonts w:ascii="Arial;sans-serif" w:hAnsi="Arial;sans-serif"/>
          <w:b w:val="false"/>
          <w:color w:val="000000"/>
          <w:sz w:val="20"/>
        </w:rPr>
        <w:t xml:space="preserve">. As of </w:t>
      </w:r>
      <w:r>
        <w:rPr>
          <w:rFonts w:ascii="Arial;sans-serif" w:hAnsi="Arial;sans-serif"/>
          <w:b w:val="false"/>
          <w:color w:val="000000"/>
          <w:sz w:val="20"/>
          <w:shd w:fill="FFFFFF" w:val="clear"/>
        </w:rPr>
        <w:t>January 31, 2025</w:t>
      </w:r>
      <w:r>
        <w:rPr>
          <w:rFonts w:ascii="Arial;sans-serif" w:hAnsi="Arial;sans-serif"/>
          <w:b w:val="false"/>
          <w:color w:val="000000"/>
          <w:sz w:val="20"/>
        </w:rPr>
        <w:t xml:space="preserve">, we had cash and cash equivalents of $77.4 million, restricted cash of $9.1 million, current liabilities of $47.4 million as of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and $333.7 million of long-term debt that matures in October 2026. We currently expect that our cash and cash equivalents balance will decline in fiscal year 2025 as a result of our business plans and strategy to significantly increase the quantity and desirability of rental product available to its customers.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are a borrower under a loan agreement with CHS (US) Management LLC (as successor in interest to Double Helix Pte Ltd.) as administrative agent for Temasek Holdings, and CHS US Investments LLC, as lender (following a debt assignment from Double Helix Pte Ltd. in March 2025). In January 2023, we entered into an amendment and restatement of such facility (the “2022 Amended Temasek Facility”). The 2022 Amended Temasek Facility extended the maturity date from October 2024 to October 2026, reduced cash interest payments by over $20 million for the two succeeding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 Temasek Facility. The 2023 Amended Temasek Facility eliminated all interest (payment-in-kind and cash interest) for six full fiscal quarters beginning with the fourth quarter of fiscal year 2023, reduced the minimum liquidity maintenance covenant from $50 million to $30 million, and provided that the Company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In fiscal year 2025, we expect to incur cash and paid-in-kind interest related to the 2025 Amended Facility beginning May 1, 2025. In March 2025, we entered into an amendment ("Eleventh Amendment") that extends the deadline to establish the 2025 quarterly and annual spend levels for rental product capital, fixed operating, and marketing expenditures to May 30, 2025. Our total indebtedness as of January 31, 2025 was $333.7 million. For a description of the terms of our current and prior credit agreements, see “Note 8 – Long-Term Debt” in the Notes to the Consolidated Financial Statements. We intend to work constructively with our lender regarding the terms of the 2025 Amended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 all. If this occurs, our repayment obligations under the 2025 Amended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future capital requirements will depend on many factors, including, but not limited to, demand for our business, rental product spend (including expected increases in rental product spend due to our planned increase in rental product unit purchases in fiscal year 2025) and the timing of investments in technology and personnel to support the overall growth of our business. We believe our existing cash and cash equivalents, and cash generated from our operations, will be sufficient to sustain our business operations, including interest payments that are scheduled to resume effective May 1, 2025, and satisfy the $30 million minimum liquidity maintenance covenant for at least the next twelve months.</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cash flows for the periods presented:</w:t>
      </w:r>
    </w:p>
    <w:tbl>
      <w:tblPr>
        <w:tblW w:w="9956" w:type="dxa"/>
        <w:jc w:val="left"/>
        <w:tblInd w:w="0" w:type="dxa"/>
        <w:tblLayout w:type="fixed"/>
        <w:tblCellMar>
          <w:top w:w="28" w:type="dxa"/>
          <w:left w:w="28" w:type="dxa"/>
          <w:bottom w:w="28" w:type="dxa"/>
          <w:right w:w="28" w:type="dxa"/>
        </w:tblCellMar>
      </w:tblPr>
      <w:tblGrid>
        <w:gridCol w:w="2359"/>
        <w:gridCol w:w="2068"/>
        <w:gridCol w:w="2082"/>
        <w:gridCol w:w="211"/>
        <w:gridCol w:w="541"/>
        <w:gridCol w:w="109"/>
        <w:gridCol w:w="109"/>
        <w:gridCol w:w="109"/>
        <w:gridCol w:w="109"/>
        <w:gridCol w:w="211"/>
        <w:gridCol w:w="601"/>
        <w:gridCol w:w="109"/>
        <w:gridCol w:w="109"/>
        <w:gridCol w:w="109"/>
        <w:gridCol w:w="109"/>
        <w:gridCol w:w="211"/>
        <w:gridCol w:w="646"/>
        <w:gridCol w:w="154"/>
      </w:tblGrid>
      <w:tr>
        <w:trPr/>
        <w:tc>
          <w:tcPr>
            <w:tcW w:w="23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Years Ended January 31,</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 xml:space="preserve">We also measure the cash consumption of the business including capital expenditures, by assessing net cash used in operating activities and net cash used in investing activities on a combined basis, which was $(7.2) million for the </w:t>
      </w:r>
      <w:r>
        <w:rPr>
          <w:rFonts w:ascii="Arial;sans-serif" w:hAnsi="Arial;sans-serif"/>
          <w:b w:val="false"/>
          <w:color w:val="000000"/>
          <w:sz w:val="20"/>
          <w:shd w:fill="FFFFFF" w:val="clear"/>
        </w:rPr>
        <w:t>year ended January 31, 2025 and</w:t>
      </w:r>
      <w:r>
        <w:rPr>
          <w:color w:val="000000"/>
        </w:rPr>
        <w:t xml:space="preserve"> </w:t>
      </w:r>
      <w:r>
        <w:rPr>
          <w:rFonts w:ascii="Arial;sans-serif" w:hAnsi="Arial;sans-serif"/>
          <w:b w:val="false"/>
          <w:color w:val="000000"/>
          <w:sz w:val="20"/>
        </w:rPr>
        <w:t xml:space="preserve">$(70.3) million for the </w:t>
      </w:r>
      <w:r>
        <w:rPr>
          <w:rFonts w:ascii="Arial;sans-serif" w:hAnsi="Arial;sans-serif"/>
          <w:b w:val="false"/>
          <w:color w:val="000000"/>
          <w:sz w:val="20"/>
          <w:shd w:fill="FFFFFF" w:val="clear"/>
        </w:rPr>
        <w:t>year ended January 31, 2024</w:t>
      </w:r>
      <w:r>
        <w:rPr>
          <w:rFonts w:ascii="Arial;sans-serif" w:hAnsi="Arial;sans-serif"/>
          <w:b w:val="false"/>
          <w:color w:val="000000"/>
          <w:sz w:val="20"/>
        </w:rPr>
        <w:t>. The cash consumption of the business was lower in fiscal year 2024 compared with fiscal year 2023 primarily due to lower purchases of rental product and improvements in net loss and Adjusted EBITDA compared to the prior period</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sum of net cash used in operating activities and net cash used in investing activities, as a percentage of revenue, was (2.4)% for the </w:t>
      </w:r>
      <w:r>
        <w:rPr>
          <w:rFonts w:ascii="Arial;sans-serif" w:hAnsi="Arial;sans-serif"/>
          <w:b w:val="false"/>
          <w:color w:val="000000"/>
          <w:sz w:val="20"/>
          <w:shd w:fill="FFFFFF" w:val="clear"/>
        </w:rPr>
        <w:t>year ended January 31, 2025 and</w:t>
      </w:r>
      <w:r>
        <w:rPr>
          <w:color w:val="000000"/>
        </w:rPr>
        <w:t xml:space="preserve"> </w:t>
      </w:r>
      <w:r>
        <w:rPr>
          <w:rFonts w:ascii="Arial;sans-serif" w:hAnsi="Arial;sans-serif"/>
          <w:b w:val="false"/>
          <w:color w:val="000000"/>
          <w:sz w:val="20"/>
        </w:rPr>
        <w:t xml:space="preserve">(23.6)% for the </w:t>
      </w:r>
      <w:r>
        <w:rPr>
          <w:rFonts w:ascii="Arial;sans-serif" w:hAnsi="Arial;sans-serif"/>
          <w:b w:val="false"/>
          <w:color w:val="000000"/>
          <w:sz w:val="20"/>
          <w:shd w:fill="FFFFFF" w:val="clear"/>
        </w:rPr>
        <w:t>year ended January 31, 2024</w:t>
      </w:r>
      <w:r>
        <w:rPr>
          <w:rFonts w:ascii="Arial;sans-serif" w:hAnsi="Arial;sans-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68" w:before="0" w:after="0"/>
        <w:jc w:val="left"/>
        <w:rPr/>
      </w:pPr>
      <w:r>
        <w:rPr>
          <w:rFonts w:ascii="Arial;sans-serif" w:hAnsi="Arial;sans-serif"/>
          <w:b/>
          <w:color w:val="000000"/>
          <w:sz w:val="20"/>
        </w:rPr>
        <w:t>Net cash (used in) provided by operating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For the year ended January 31, 2025, net cash provided by operating activities was $12.9 million, which consisted of a net loss of $(69.9) million, partially offset by non-cash charges of </w:t>
      </w:r>
      <w:r>
        <w:rPr>
          <w:rFonts w:ascii="Arial;sans-serif" w:hAnsi="Arial;sans-serif"/>
          <w:b w:val="false"/>
          <w:color w:val="000000"/>
          <w:sz w:val="20"/>
        </w:rPr>
        <w:t>$115.4</w:t>
      </w:r>
      <w:r>
        <w:rPr>
          <w:color w:val="000000"/>
          <w:shd w:fill="FFFFFF" w:val="clear"/>
        </w:rPr>
        <w:t xml:space="preserve"> </w:t>
      </w:r>
      <w:r>
        <w:rPr>
          <w:rFonts w:ascii="Arial;sans-serif" w:hAnsi="Arial;sans-serif"/>
          <w:b w:val="false"/>
          <w:color w:val="000000"/>
          <w:sz w:val="20"/>
          <w:shd w:fill="FFFFFF" w:val="clear"/>
        </w:rPr>
        <w:t>million, reclassification of the proceeds from the sale of rental product of $28.1 million and a net change of $(4.5) million in our operating assets and liabilities. The non-cash charges were primarily comprised of $65.9 million of rental product depreciation and write-off expenses, $27.0 million of debt discount amortization, $12.8 million of other fixed and intangible asset depre</w:t>
      </w:r>
      <w:r>
        <w:rPr>
          <w:rFonts w:ascii="Arial;sans-serif" w:hAnsi="Arial;sans-serif"/>
          <w:b w:val="false"/>
          <w:color w:val="000000"/>
          <w:sz w:val="20"/>
        </w:rPr>
        <w:t xml:space="preserve">ciation and </w:t>
      </w:r>
      <w:r>
        <w:rPr>
          <w:rFonts w:ascii="Arial;sans-serif" w:hAnsi="Arial;sans-serif"/>
          <w:b w:val="false"/>
          <w:color w:val="000000"/>
          <w:sz w:val="20"/>
          <w:shd w:fill="FFFFFF" w:val="clear"/>
        </w:rPr>
        <w:t>$9.7 million of share-based compensation</w:t>
      </w:r>
      <w:r>
        <w:rPr>
          <w:rFonts w:ascii="Arial;sans-serif" w:hAnsi="Arial;sans-serif"/>
          <w:b w:val="false"/>
          <w:color w:val="000000"/>
          <w:sz w:val="20"/>
        </w:rPr>
        <w:t xml:space="preserve">.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the year ended January 31, 2024, net cash used in operating activities was $(15.7) million, which consisted of a net loss of $(113.2) million, partially offset by non-cash charges of $132.5 million, reclassification of the proceeds from the sale of rental product of $23.3 million and a net change of $(11.7) million in our operating assets and liabilities. The non-cash charges were primarily comprised of $56.1 million of rental product depreciation and write-off expenses, $26.2 million of share-based compensation, $22.5 million of payment-in-kind interest, $15.0 million of other fixed and intangible asset depreciation, $11.7 million of debt discount amortization, and $1.1 million consisting of asset impairment charges related to the discontinuation of a software implementation project in connection with the January 2024 restructuring plan, of which $0.1 million is included in accrued expenses related to the asset impairment (see the Supplemental Cash Flow Information in Part II, Item 8. “Financial Statements and Supplementary Data”).</w:t>
      </w:r>
    </w:p>
    <w:p>
      <w:pPr>
        <w:pStyle w:val="TextBody"/>
        <w:bidi w:val="0"/>
        <w:spacing w:lineRule="auto" w:line="288" w:before="240" w:after="283"/>
        <w:jc w:val="left"/>
        <w:rPr/>
      </w:pPr>
      <w:r>
        <w:rPr>
          <w:rFonts w:ascii="Arial;sans-serif" w:hAnsi="Arial;sans-serif"/>
          <w:b/>
          <w:color w:val="000000"/>
          <w:sz w:val="20"/>
        </w:rPr>
        <w:t>Net cash (used in) provided by investing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For the year ended January 31, 2025, net cash used in investing activi</w:t>
      </w:r>
      <w:r>
        <w:rPr>
          <w:rFonts w:ascii="Arial;sans-serif" w:hAnsi="Arial;sans-serif"/>
          <w:b w:val="false"/>
          <w:color w:val="000000"/>
          <w:sz w:val="20"/>
        </w:rPr>
        <w:t>ties was $(20.1) million, primarily consisting of $(49.2) million of purchases of rental product incurred in the period and $(4.4) million of purchases of fixed and intangible assets. The investment in rental product does not include an additional $2.7 million of cost for units received in the current period but not yet paid for, but does include $(1.4) million of cost for units paid for in the current period but received in the prior period (see the Supplemental Cash Flow Information in Part II, Item 8. “Financial Statements and Supplementary Data”). The investment in rental product was to support our rental product strategy. The majority of the investment in fixed and intangible assets was primarily related to machinery and equipment. The cash used in investing activities was partially offset by $28.1 million of proceeds from the sale of owned rental product and $5.4 million of proceeds from the liquidation of rental product.</w:t>
      </w:r>
    </w:p>
    <w:p>
      <w:pPr>
        <w:pStyle w:val="TextBody"/>
        <w:bidi w:val="0"/>
        <w:spacing w:lineRule="auto" w:line="288" w:before="240" w:after="283"/>
        <w:jc w:val="left"/>
        <w:rPr/>
      </w:pPr>
      <w:r>
        <w:rPr>
          <w:rFonts w:ascii="Arial;sans-serif" w:hAnsi="Arial;sans-serif"/>
          <w:b w:val="false"/>
          <w:color w:val="000000"/>
          <w:sz w:val="20"/>
          <w:shd w:fill="FFFFFF" w:val="clear"/>
        </w:rPr>
        <w:t>For the year ended January 31, 2024, net cash used in investing activities was $(54.6) million, primarily consisting of $(77.9) million of purchases of rental product incurred in the period and $(4.6) million of purchases of fixed and intangible assets</w:t>
      </w:r>
      <w:r>
        <w:rPr>
          <w:rFonts w:ascii="Arial;sans-serif" w:hAnsi="Arial;sans-serif"/>
          <w:b w:val="false"/>
          <w:color w:val="000000"/>
          <w:sz w:val="20"/>
        </w:rPr>
        <w:t>. The investment in rental product did not include an additional $3.3 million of cost for units received in the current period but not yet paid for, but did include $(5.4) million of cost for units paid for in the current period but received in the prior period (see Supplemental Cash Flow Information in Part II, Item 8. “Financial Statements and Supplementary Data”). The investment in rental product was to support our rental product strategy. The majority of the investment in fixed and intangible assets was primarily related to capitalized software and leasehold improvements. The cash used in investing activities was partially offset by $23.3 million of proceeds from sales of owned rental products and $4.6 million of proceeds from the liquidation of rental product.</w:t>
      </w:r>
    </w:p>
    <w:p>
      <w:pPr>
        <w:pStyle w:val="TextBody"/>
        <w:bidi w:val="0"/>
        <w:spacing w:lineRule="auto" w:line="288" w:before="240" w:after="283"/>
        <w:jc w:val="left"/>
        <w:rPr/>
      </w:pPr>
      <w:r>
        <w:rPr>
          <w:rFonts w:ascii="Arial;sans-serif" w:hAnsi="Arial;sans-serif"/>
          <w:b/>
          <w:color w:val="000000"/>
          <w:sz w:val="20"/>
        </w:rPr>
        <w:t>Net cash provided by (used in) financing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During the year ended January 31, 2025, net cash provided by financing activities was $(0.3) million, consisting of other financing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year ended January 31, 2024, net cash used in financing activities was $0.7 million, consisting of other financing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Contractual Obligations and Commitments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In March 2025, we entered into the 2025 Amended Facility, which extended the deadline to agree upon the fiscal year 2025 covenant levels from March 31, 2025 to May 30, 2025. See Note 8 — Long-Term Debt in the Notes to the Consolidated Financial Statements for more information. As of </w:t>
      </w:r>
      <w:r>
        <w:rPr>
          <w:rFonts w:ascii="Arial;sans-serif" w:hAnsi="Arial;sans-serif"/>
          <w:b w:val="false"/>
          <w:color w:val="000000"/>
          <w:sz w:val="20"/>
          <w:shd w:fill="FFFFFF" w:val="clear"/>
        </w:rPr>
        <w:t>January 31, 2025</w:t>
      </w:r>
      <w:r>
        <w:rPr>
          <w:rFonts w:ascii="Arial;sans-serif" w:hAnsi="Arial;sans-serif"/>
          <w:b w:val="false"/>
          <w:color w:val="000000"/>
          <w:sz w:val="20"/>
        </w:rPr>
        <w:t xml:space="preserve">, we had approximately $333.7 million of total debt outstanding, none of which matures within the next 12 months. See “Note 8 — Long-Term Debt” in the Notes to the Consolidated Financial Statements for more information. See “Note 5 – Leases – Lessee Accounting” in the Notes to the Consolidated Financial Statements for our minimum fixed lease obligations under existing lease agreements as of </w:t>
      </w:r>
      <w:r>
        <w:rPr>
          <w:rFonts w:ascii="Arial;sans-serif" w:hAnsi="Arial;sans-serif"/>
          <w:b w:val="false"/>
          <w:color w:val="000000"/>
          <w:sz w:val="20"/>
          <w:shd w:fill="FFFFFF" w:val="clear"/>
        </w:rPr>
        <w:t>January 31, 2025</w:t>
      </w:r>
      <w:r>
        <w:rPr>
          <w:rFonts w:ascii="Arial;sans-serif" w:hAnsi="Arial;sans-serif"/>
          <w:b w:val="false"/>
          <w:color w:val="000000"/>
          <w:sz w:val="20"/>
        </w:rPr>
        <w:t xml:space="preserve">. See “Note 15 - Commitments and Contingencies” in the Notes to the Consolidated Financial Statements for our minimum purchase commitments for technology services as of </w:t>
      </w:r>
      <w:r>
        <w:rPr>
          <w:rFonts w:ascii="Arial;sans-serif" w:hAnsi="Arial;sans-serif"/>
          <w:b w:val="false"/>
          <w:color w:val="000000"/>
          <w:sz w:val="20"/>
          <w:shd w:fill="FFFFFF" w:val="clear"/>
        </w:rPr>
        <w:t>January 31, 2025</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Management’s discussion and analysis of our financial condition and results of operations is based on our consolidated financial statements, which have been prepared in accordance with GAAP. The preparation of our financial statements requires us to make estimates using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estimates discussed below are critical to understanding our historical and future performance, as these policies relate to the more significant areas involving management’s judgments and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Rental Product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rental product to be a long-term productive asset and, as such, classify it as a noncurrent asset on the Consolidated Balance Sheets. Rental product is stated at cost, less accumulated depreciation. We depreciate rental product, less salvage value, over the useful lives of the assets using the straight-line method. Depreciation on rental products is an estimate based on the following assumptions: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Useful life: our projection of the period over which we can monetize our rental products through our Subscription or Reserve rental offerings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Salvage value: our projection of the proceeds that can be expected to be generated from rental product once it is no longer considered rentable, expressed as a percentage of the acquisition cost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useful life is determined based on historical trends and an assessment of any future changes. The salvage value considers the historical trends and projected liquidation proceeds for the assets. A change in the assumption used for useful life or salvage value would either increase or decrease accumulated depreciation and depreciation expense reflected on our Consolidated Balance Sheets within Rental product, net and on our Consolidated Statements of Operations within Rental product depreciation and revenue share, respectively. Our historical results and assessment of any future changes continue to support the use of these assumptions.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Right-of-Use Assets and Lease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Right-of-use (“ROU”) assets and lease liabilities are measured and recognized at the lease commencement date or lease modification date based on the present value of fixed lease payments over the expected lease term. Because the majority of our leases do not include an implicit discount rate, we use an estimated incremental borrowing rate (“IBR”), to determine the present value of future minimum lease payments. The sensitivity of the estimate is due to the judgement used in the determination of the synthetic credit rating and the development of the related benchmark yield curves.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8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Share-Based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Fair value of common stock.</w:t>
      </w:r>
      <w:r>
        <w:rPr>
          <w:color w:val="000000"/>
        </w:rPr>
        <w:t xml:space="preserve"> </w:t>
      </w:r>
      <w:r>
        <w:rPr>
          <w:rFonts w:ascii="Arial;sans-serif" w:hAnsi="Arial;sans-serif"/>
          <w:b w:val="false"/>
          <w:color w:val="000000"/>
          <w:sz w:val="20"/>
        </w:rPr>
        <w:t>Following the closing of our IPO, the fair market value of our common stock is based on the closing price as reported on the date of grant on the Nasdaq Stock Market, on which the Company’s stock is traded. Prior to the close of our IPO, because our common stock was not yet publicly traded, we were required to estimate the fair value of its common stock. The fair value of the shares of common stock underlying the stock options was historically determined by a third-party valuation firm and approved by our board of directors. The fair value of our common stock was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Expected volatility.</w:t>
      </w:r>
      <w:r>
        <w:rPr>
          <w:color w:val="000000"/>
        </w:rPr>
        <w:t xml:space="preserve"> </w:t>
      </w:r>
      <w:r>
        <w:rPr>
          <w:rFonts w:ascii="Arial;sans-serif" w:hAnsi="Arial;sans-serif"/>
          <w:b w:val="false"/>
          <w:color w:val="000000"/>
          <w:sz w:val="20"/>
        </w:rPr>
        <w:t>As a result of the lack of historical and implied volatility data of our common stock, the expected stock price volatility has been estimated based on the historical volatilities of a specified group of companies in our industry for a period equal to the expected life of the option. We selected companies with comparable characteristics,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Expected term.</w:t>
      </w:r>
      <w:r>
        <w:rPr>
          <w:color w:val="000000"/>
        </w:rPr>
        <w:t xml:space="preserve"> </w:t>
      </w:r>
      <w:r>
        <w:rPr>
          <w:rFonts w:ascii="Arial;sans-serif" w:hAnsi="Arial;sans-serif"/>
          <w:b w:val="false"/>
          <w:color w:val="000000"/>
          <w:sz w:val="20"/>
        </w:rPr>
        <w:t>The expected term of stock options represents the weighted-average period the stock options are expected to remain outstanding and is estimated under the simplified method using the vesting and contractual terms.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Risk-free interest rate.</w:t>
      </w:r>
      <w:r>
        <w:rPr>
          <w:color w:val="000000"/>
        </w:rPr>
        <w:t xml:space="preserve"> </w:t>
      </w:r>
      <w:r>
        <w:rPr>
          <w:rFonts w:ascii="Arial;sans-serif" w:hAnsi="Arial;sans-serif"/>
          <w:b w:val="false"/>
          <w:color w:val="000000"/>
          <w:sz w:val="20"/>
        </w:rPr>
        <w:t>The expected risk-free rate assumption is based on the U.S. Treasury instruments whose term is consistent with the expected term of the stock options.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Expected dividend yield.</w:t>
      </w:r>
      <w:r>
        <w:rPr>
          <w:color w:val="000000"/>
        </w:rPr>
        <w:t xml:space="preserve"> </w:t>
      </w:r>
      <w:r>
        <w:rPr>
          <w:rFonts w:ascii="Arial;sans-serif" w:hAnsi="Arial;sans-serif"/>
          <w:b w:val="false"/>
          <w:color w:val="000000"/>
          <w:sz w:val="20"/>
        </w:rPr>
        <w:t>The expected dividend assumption is based on our history and expectation of dividend. We have not paid dividends and do not expect to do so in the foreseeable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 There were no stock options granted during the years January 31, 2025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8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Impairment Evaluation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Given the Company’s stock price decline during the third quarter of fiscal year 2023 and the fourth quarter of fiscal year 2024, the Company concluded a triggering event had occurred and performed an impairment analysis of its long-lived assets as of October 31, 2023 and January 31, 2025. The Company performed a quantitative assessment using the undiscounted future cash flows expected to be generated by the use and eventual disposition of the Company’s long-lived assets group. The assessment included consideration of key factors including projected enterprise cash flows, market capitalization and the fair value of the Company’s debt facility. Based on the quantitative assessment performed, undiscounted cash flows expected to be generated by the use and eventual disposition of the Company’s long-lived assets exceeded their carrying values and therefore no impairment was recognized for the years ended January 31, 2024 and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Accounting Pronouncements</w:t>
      </w:r>
    </w:p>
    <w:p>
      <w:pPr>
        <w:pStyle w:val="TextBody"/>
        <w:bidi w:val="0"/>
        <w:spacing w:lineRule="auto" w:line="288" w:before="240" w:after="283"/>
        <w:jc w:val="left"/>
        <w:rPr/>
      </w:pPr>
      <w:r>
        <w:rPr>
          <w:rFonts w:ascii="Arial;sans-serif" w:hAnsi="Arial;sans-serif"/>
          <w:b w:val="false"/>
          <w:color w:val="000000"/>
          <w:sz w:val="20"/>
          <w:shd w:fill="FFFFFF" w:val="clear"/>
        </w:rPr>
        <w:t xml:space="preserve">See “Note 2 — </w:t>
      </w:r>
      <w:r>
        <w:rPr>
          <w:rFonts w:ascii="Arial;sans-serif" w:hAnsi="Arial;sans-serif"/>
          <w:b w:val="false"/>
          <w:color w:val="000000"/>
          <w:sz w:val="20"/>
        </w:rPr>
        <w:t>Summary of Significant Accounting Policies</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Notes to Consolidated Financial Statements</w:t>
      </w:r>
      <w:r>
        <w:rPr>
          <w:color w:val="000000"/>
          <w:shd w:fill="FFFFFF" w:val="clear"/>
        </w:rPr>
        <w:t xml:space="preserve"> </w:t>
      </w:r>
      <w:r>
        <w:rPr>
          <w:rFonts w:ascii="Arial;sans-serif" w:hAnsi="Arial;sans-serif"/>
          <w:b w:val="false"/>
          <w:color w:val="000000"/>
          <w:sz w:val="20"/>
          <w:shd w:fill="FFFFFF" w:val="clear"/>
        </w:rPr>
        <w:t>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JOBS Act</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240" w:after="283"/>
        <w:jc w:val="left"/>
        <w:rPr/>
      </w:pPr>
      <w:r>
        <w:rPr>
          <w:rFonts w:ascii="Arial;sans-serif" w:hAnsi="Arial;sans-serif"/>
          <w:b w:val="false"/>
          <w:color w:val="000000"/>
          <w:sz w:val="20"/>
        </w:rPr>
        <w:t xml:space="preserve">Market </w:t>
      </w:r>
      <w:r>
        <w:rPr>
          <w:rFonts w:ascii="Arial;sans-serif" w:hAnsi="Arial;sans-serif"/>
          <w:b w:val="false"/>
          <w:color w:val="000000"/>
          <w:sz w:val="20"/>
          <w:shd w:fill="FFFFFF" w:val="clear"/>
        </w:rPr>
        <w:t>risk represents the risk of loss that may impact our financial position because of adverse changes in financial market prices and rates. Our market risk exposure is primarily a result of exposure resulting from potential changes in inflation</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20" w:after="283"/>
        <w:jc w:val="left"/>
        <w:rPr/>
      </w:pPr>
      <w:r>
        <w:rPr>
          <w:rFonts w:ascii="Arial;sans-serif" w:hAnsi="Arial;sans-serif"/>
          <w:b w:val="false"/>
          <w:color w:val="000000"/>
          <w:sz w:val="20"/>
        </w:rPr>
        <w:t xml:space="preserve">As of January 31, 2025, we had cash and cash equivalents of $77.4 million and $333.7 </w:t>
      </w:r>
      <w:r>
        <w:rPr>
          <w:rFonts w:ascii="Arial;sans-serif" w:hAnsi="Arial;sans-serif"/>
          <w:b w:val="false"/>
          <w:color w:val="000000"/>
          <w:sz w:val="20"/>
          <w:shd w:fill="FFFFFF" w:val="clear"/>
        </w:rPr>
        <w:t>million of debt outstanding under the 2025 Amended Facility. Cash and cash equivalents consist primarily of cash held in financial institutions within the United States and Ireland and cash in transit from third-party credit card providers. Borrowings under the 2025 Amended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w:t>
      </w:r>
      <w:r>
        <w:rPr>
          <w:rFonts w:ascii="Arial;sans-serif" w:hAnsi="Arial;sans-serif"/>
          <w:b w:val="false"/>
          <w:color w:val="000000"/>
          <w:sz w:val="20"/>
        </w:rPr>
        <w:t>. As of January 31, 2025, a hypothetical 10% change in interest rates would not have resulted in a material impact on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8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January 31, 2025, a hypothetical 10% change in the relative value of the U.S. dollar to other currencies would not have had a material effect on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Inflation Risk</w:t>
      </w:r>
    </w:p>
    <w:p>
      <w:pPr>
        <w:pStyle w:val="TextBody"/>
        <w:bidi w:val="0"/>
        <w:spacing w:lineRule="auto" w:line="288" w:before="120" w:after="283"/>
        <w:jc w:val="left"/>
        <w:rPr/>
      </w:pPr>
      <w:r>
        <w:rPr>
          <w:rFonts w:ascii="Arial;sans-serif" w:hAnsi="Arial;sans-serif"/>
          <w:b w:val="false"/>
          <w:color w:val="000000"/>
          <w:sz w:val="20"/>
        </w:rPr>
        <w:t>In recent months, persistent inflation has continued to result in rising transportation, wages, rental product and other costs in the United States and overseas. F</w:t>
      </w:r>
      <w:r>
        <w:rPr>
          <w:rFonts w:ascii="Arial;sans-serif" w:hAnsi="Arial;sans-serif"/>
          <w:b w:val="false"/>
          <w:color w:val="000000"/>
          <w:sz w:val="20"/>
          <w:shd w:fill="FFFFFF" w:val="clear"/>
        </w:rPr>
        <w:t>or a discussion of recent wage increases and transportation costs related, in part, to inflationary pressures, see “Impact of Macro and Consumer Environment on Our Business” in Part II, Item 7.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9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before="360" w:after="283"/>
        <w:jc w:val="left"/>
        <w:rPr/>
      </w:pPr>
      <w:r>
        <w:rPr/>
      </w:r>
    </w:p>
    <w:tbl>
      <w:tblPr>
        <w:tblW w:w="10205" w:type="dxa"/>
        <w:jc w:val="left"/>
        <w:tblInd w:w="0" w:type="dxa"/>
        <w:tblLayout w:type="fixed"/>
        <w:tblCellMar>
          <w:top w:w="28" w:type="dxa"/>
          <w:left w:w="28" w:type="dxa"/>
          <w:bottom w:w="28" w:type="dxa"/>
          <w:right w:w="28" w:type="dxa"/>
        </w:tblCellMar>
      </w:tblPr>
      <w:tblGrid>
        <w:gridCol w:w="3496"/>
        <w:gridCol w:w="3038"/>
        <w:gridCol w:w="3054"/>
        <w:gridCol w:w="180"/>
        <w:gridCol w:w="180"/>
        <w:gridCol w:w="257"/>
      </w:tblGrid>
      <w:tr>
        <w:trPr/>
        <w:tc>
          <w:tcPr>
            <w:tcW w:w="3496"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97">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238)</w:t>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3bf3a626a994fc1ab674d4dc732cf2c_97">
              <w:r>
                <w:rPr>
                  <w:rStyle w:val="InternetLink"/>
                  <w:rFonts w:ascii="Arial;sans-serif" w:hAnsi="Arial;sans-serif"/>
                  <w:b w:val="false"/>
                  <w:strike w:val="false"/>
                  <w:dstrike w:val="false"/>
                  <w:color w:val="000000"/>
                  <w:sz w:val="20"/>
                  <w:u w:val="none"/>
                  <w:effect w:val="none"/>
                </w:rPr>
                <w:t>87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00">
              <w:r>
                <w:rPr>
                  <w:rStyle w:val="InternetLink"/>
                  <w:rFonts w:ascii="Arial;sans-serif" w:hAnsi="Arial;sans-serif"/>
                  <w:b w:val="false"/>
                  <w:color w:val="0000FF"/>
                  <w:sz w:val="20"/>
                  <w:u w:val="single"/>
                </w:rPr>
                <w:t>Consolidated Balance Sheets as of January 31, 2025 and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00">
              <w:r>
                <w:rPr>
                  <w:rStyle w:val="InternetLink"/>
                  <w:rFonts w:ascii="Arial;sans-serif" w:hAnsi="Arial;sans-serif"/>
                  <w:b w:val="false"/>
                  <w:strike w:val="false"/>
                  <w:dstrike w:val="false"/>
                  <w:color w:val="000000"/>
                  <w:sz w:val="20"/>
                  <w:u w:val="none"/>
                  <w:effect w:val="none"/>
                </w:rPr>
                <w:t>88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06">
              <w:r>
                <w:rPr>
                  <w:rStyle w:val="InternetLink"/>
                  <w:rFonts w:ascii="Arial;sans-serif" w:hAnsi="Arial;sans-serif"/>
                  <w:b w:val="false"/>
                  <w:color w:val="0000FF"/>
                  <w:sz w:val="20"/>
                  <w:u w:val="single"/>
                </w:rPr>
                <w:t>Consolidated Statements of Operations for the Years ended January 31, 2025,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06">
              <w:r>
                <w:rPr>
                  <w:rStyle w:val="InternetLink"/>
                  <w:rFonts w:ascii="Arial;sans-serif" w:hAnsi="Arial;sans-serif"/>
                  <w:b w:val="false"/>
                  <w:strike w:val="false"/>
                  <w:dstrike w:val="false"/>
                  <w:color w:val="000000"/>
                  <w:sz w:val="20"/>
                  <w:u w:val="none"/>
                  <w:effect w:val="none"/>
                </w:rPr>
                <w:t>89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12">
              <w:r>
                <w:rPr>
                  <w:rStyle w:val="InternetLink"/>
                  <w:rFonts w:ascii="Arial;sans-serif" w:hAnsi="Arial;sans-serif"/>
                  <w:b w:val="false"/>
                  <w:color w:val="0000FF"/>
                  <w:sz w:val="20"/>
                  <w:u w:val="single"/>
                </w:rPr>
                <w:t>Consolidated Statements of Changes in Stockholders’ Equity (Deficit) for the Years ended January 31, 2025,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12">
              <w:r>
                <w:rPr>
                  <w:rStyle w:val="InternetLink"/>
                  <w:rFonts w:ascii="Arial;sans-serif" w:hAnsi="Arial;sans-serif"/>
                  <w:b w:val="false"/>
                  <w:strike w:val="false"/>
                  <w:dstrike w:val="false"/>
                  <w:color w:val="000000"/>
                  <w:sz w:val="20"/>
                  <w:u w:val="none"/>
                  <w:effect w:val="none"/>
                </w:rPr>
                <w:t>90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18">
              <w:r>
                <w:rPr>
                  <w:rStyle w:val="InternetLink"/>
                  <w:rFonts w:ascii="Arial;sans-serif" w:hAnsi="Arial;sans-serif"/>
                  <w:b w:val="false"/>
                  <w:color w:val="0000FF"/>
                  <w:sz w:val="20"/>
                  <w:u w:val="single"/>
                </w:rPr>
                <w:t>Consolidated Statements of Cash Flows for the Years ended January 31, 2025,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18">
              <w:r>
                <w:rPr>
                  <w:rStyle w:val="InternetLink"/>
                  <w:rFonts w:ascii="Arial;sans-serif" w:hAnsi="Arial;sans-serif"/>
                  <w:b w:val="false"/>
                  <w:strike w:val="false"/>
                  <w:dstrike w:val="false"/>
                  <w:color w:val="000000"/>
                  <w:sz w:val="20"/>
                  <w:u w:val="none"/>
                  <w:effect w:val="none"/>
                </w:rPr>
                <w:t>91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Notes to Consolidated Financial Statements </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24">
              <w:r>
                <w:rPr>
                  <w:rStyle w:val="InternetLink"/>
                  <w:rFonts w:ascii="Arial;sans-serif" w:hAnsi="Arial;sans-serif"/>
                  <w:b w:val="false"/>
                  <w:color w:val="0000FF"/>
                  <w:sz w:val="20"/>
                  <w:u w:val="single"/>
                </w:rPr>
                <w:t>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24">
              <w:r>
                <w:rPr>
                  <w:rStyle w:val="InternetLink"/>
                  <w:rFonts w:ascii="Arial;sans-serif" w:hAnsi="Arial;sans-serif"/>
                  <w:b w:val="false"/>
                  <w:strike w:val="false"/>
                  <w:dstrike w:val="false"/>
                  <w:color w:val="000000"/>
                  <w:sz w:val="20"/>
                  <w:u w:val="none"/>
                  <w:effect w:val="none"/>
                </w:rPr>
                <w:t>93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27">
              <w:r>
                <w:rPr>
                  <w:rStyle w:val="InternetLink"/>
                  <w:rFonts w:ascii="Arial;sans-serif" w:hAnsi="Arial;sans-serif"/>
                  <w:b w:val="false"/>
                  <w:color w:val="0000FF"/>
                  <w:sz w:val="20"/>
                  <w:u w:val="single"/>
                </w:rPr>
                <w:t>2. Summary of Significant Accounting Policies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27">
              <w:r>
                <w:rPr>
                  <w:rStyle w:val="InternetLink"/>
                  <w:rFonts w:ascii="Arial;sans-serif" w:hAnsi="Arial;sans-serif"/>
                  <w:b w:val="false"/>
                  <w:strike w:val="false"/>
                  <w:dstrike w:val="false"/>
                  <w:color w:val="000000"/>
                  <w:sz w:val="20"/>
                  <w:u w:val="none"/>
                  <w:effect w:val="none"/>
                </w:rPr>
                <w:t>93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33">
              <w:r>
                <w:rPr>
                  <w:rStyle w:val="InternetLink"/>
                  <w:rFonts w:ascii="Arial;sans-serif" w:hAnsi="Arial;sans-serif"/>
                  <w:b w:val="false"/>
                  <w:color w:val="0000FF"/>
                  <w:sz w:val="20"/>
                  <w:u w:val="single"/>
                </w:rPr>
                <w:t>3. Liquidity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33">
              <w:r>
                <w:rPr>
                  <w:rStyle w:val="InternetLink"/>
                  <w:rFonts w:ascii="Arial;sans-serif" w:hAnsi="Arial;sans-serif"/>
                  <w:b w:val="false"/>
                  <w:strike w:val="false"/>
                  <w:dstrike w:val="false"/>
                  <w:color w:val="000000"/>
                  <w:sz w:val="20"/>
                  <w:u w:val="none"/>
                  <w:effect w:val="none"/>
                </w:rPr>
                <w:t>104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36">
              <w:r>
                <w:rPr>
                  <w:rStyle w:val="InternetLink"/>
                  <w:rFonts w:ascii="Arial;sans-serif" w:hAnsi="Arial;sans-serif"/>
                  <w:b w:val="false"/>
                  <w:color w:val="0000FF"/>
                  <w:sz w:val="20"/>
                  <w:u w:val="single"/>
                </w:rPr>
                <w:t>4. Restructuring and Related Charges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36">
              <w:r>
                <w:rPr>
                  <w:rStyle w:val="InternetLink"/>
                  <w:rFonts w:ascii="Arial;sans-serif" w:hAnsi="Arial;sans-serif"/>
                  <w:b w:val="false"/>
                  <w:strike w:val="false"/>
                  <w:dstrike w:val="false"/>
                  <w:color w:val="000000"/>
                  <w:sz w:val="20"/>
                  <w:u w:val="none"/>
                  <w:effect w:val="none"/>
                </w:rPr>
                <w:t>105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39">
              <w:r>
                <w:rPr>
                  <w:rStyle w:val="InternetLink"/>
                  <w:rFonts w:ascii="Arial;sans-serif" w:hAnsi="Arial;sans-serif"/>
                  <w:b w:val="false"/>
                  <w:color w:val="0000FF"/>
                  <w:sz w:val="20"/>
                  <w:u w:val="single"/>
                </w:rPr>
                <w:t>5. Leases- Lessee Accounting</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39">
              <w:r>
                <w:rPr>
                  <w:rStyle w:val="InternetLink"/>
                  <w:rFonts w:ascii="Arial;sans-serif" w:hAnsi="Arial;sans-serif"/>
                  <w:b w:val="false"/>
                  <w:strike w:val="false"/>
                  <w:dstrike w:val="false"/>
                  <w:color w:val="000000"/>
                  <w:sz w:val="20"/>
                  <w:u w:val="none"/>
                  <w:effect w:val="none"/>
                </w:rPr>
                <w:t>105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42">
              <w:r>
                <w:rPr>
                  <w:rStyle w:val="InternetLink"/>
                  <w:rFonts w:ascii="Arial;sans-serif" w:hAnsi="Arial;sans-serif"/>
                  <w:b w:val="false"/>
                  <w:color w:val="0000FF"/>
                  <w:sz w:val="20"/>
                  <w:u w:val="single"/>
                </w:rPr>
                <w:t>6. Rental Product,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42">
              <w:r>
                <w:rPr>
                  <w:rStyle w:val="InternetLink"/>
                  <w:rFonts w:ascii="Arial;sans-serif" w:hAnsi="Arial;sans-serif"/>
                  <w:b w:val="false"/>
                  <w:strike w:val="false"/>
                  <w:dstrike w:val="false"/>
                  <w:color w:val="000000"/>
                  <w:sz w:val="20"/>
                  <w:u w:val="none"/>
                  <w:effect w:val="none"/>
                </w:rPr>
                <w:t>107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45">
              <w:r>
                <w:rPr>
                  <w:rStyle w:val="InternetLink"/>
                  <w:rFonts w:ascii="Arial;sans-serif" w:hAnsi="Arial;sans-serif"/>
                  <w:b w:val="false"/>
                  <w:color w:val="0000FF"/>
                  <w:sz w:val="20"/>
                  <w:u w:val="single"/>
                </w:rPr>
                <w:t>7. Fixed and Intangible Assets,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45">
              <w:r>
                <w:rPr>
                  <w:rStyle w:val="InternetLink"/>
                  <w:rFonts w:ascii="Arial;sans-serif" w:hAnsi="Arial;sans-serif"/>
                  <w:b w:val="false"/>
                  <w:strike w:val="false"/>
                  <w:dstrike w:val="false"/>
                  <w:color w:val="000000"/>
                  <w:sz w:val="20"/>
                  <w:u w:val="none"/>
                  <w:effect w:val="none"/>
                </w:rPr>
                <w:t>108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48">
              <w:r>
                <w:rPr>
                  <w:rStyle w:val="InternetLink"/>
                  <w:rFonts w:ascii="Arial;sans-serif" w:hAnsi="Arial;sans-serif"/>
                  <w:b w:val="false"/>
                  <w:color w:val="0000FF"/>
                  <w:sz w:val="20"/>
                  <w:u w:val="single"/>
                </w:rPr>
                <w:t>8. Long-Term Debt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48">
              <w:r>
                <w:rPr>
                  <w:rStyle w:val="InternetLink"/>
                  <w:rFonts w:ascii="Arial;sans-serif" w:hAnsi="Arial;sans-serif"/>
                  <w:b w:val="false"/>
                  <w:strike w:val="false"/>
                  <w:dstrike w:val="false"/>
                  <w:color w:val="000000"/>
                  <w:sz w:val="20"/>
                  <w:u w:val="none"/>
                  <w:effect w:val="none"/>
                </w:rPr>
                <w:t>109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51">
              <w:r>
                <w:rPr>
                  <w:rStyle w:val="InternetLink"/>
                  <w:rFonts w:ascii="Arial;sans-serif" w:hAnsi="Arial;sans-serif"/>
                  <w:b w:val="false"/>
                  <w:color w:val="0000FF"/>
                  <w:sz w:val="20"/>
                  <w:u w:val="single"/>
                </w:rPr>
                <w:t>9. Income Taxes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51">
              <w:r>
                <w:rPr>
                  <w:rStyle w:val="InternetLink"/>
                  <w:rFonts w:ascii="Arial;sans-serif" w:hAnsi="Arial;sans-serif"/>
                  <w:b w:val="false"/>
                  <w:strike w:val="false"/>
                  <w:dstrike w:val="false"/>
                  <w:color w:val="000000"/>
                  <w:sz w:val="20"/>
                  <w:u w:val="none"/>
                  <w:effect w:val="none"/>
                </w:rPr>
                <w:t>111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54">
              <w:r>
                <w:rPr>
                  <w:rStyle w:val="InternetLink"/>
                  <w:rFonts w:ascii="Arial;sans-serif" w:hAnsi="Arial;sans-serif"/>
                  <w:b w:val="false"/>
                  <w:color w:val="0000FF"/>
                  <w:sz w:val="20"/>
                  <w:u w:val="single"/>
                </w:rPr>
                <w:t>10. Accrued Expenses and Other Current Liabilities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54">
              <w:r>
                <w:rPr>
                  <w:rStyle w:val="InternetLink"/>
                  <w:rFonts w:ascii="Arial;sans-serif" w:hAnsi="Arial;sans-serif"/>
                  <w:b w:val="false"/>
                  <w:strike w:val="false"/>
                  <w:dstrike w:val="false"/>
                  <w:color w:val="000000"/>
                  <w:sz w:val="20"/>
                  <w:u w:val="none"/>
                  <w:effect w:val="none"/>
                </w:rPr>
                <w:t>115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57">
              <w:r>
                <w:rPr>
                  <w:rStyle w:val="InternetLink"/>
                  <w:rFonts w:ascii="Arial;sans-serif" w:hAnsi="Arial;sans-serif"/>
                  <w:b w:val="false"/>
                  <w:color w:val="0000FF"/>
                  <w:sz w:val="20"/>
                  <w:u w:val="single"/>
                </w:rPr>
                <w:t>11. Fair Value Measurements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57">
              <w:r>
                <w:rPr>
                  <w:rStyle w:val="InternetLink"/>
                  <w:rFonts w:ascii="Arial;sans-serif" w:hAnsi="Arial;sans-serif"/>
                  <w:b w:val="false"/>
                  <w:strike w:val="false"/>
                  <w:dstrike w:val="false"/>
                  <w:color w:val="000000"/>
                  <w:sz w:val="20"/>
                  <w:u w:val="none"/>
                  <w:effect w:val="none"/>
                </w:rPr>
                <w:t>115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63">
              <w:r>
                <w:rPr>
                  <w:rStyle w:val="InternetLink"/>
                  <w:rFonts w:ascii="Arial;sans-serif" w:hAnsi="Arial;sans-serif"/>
                  <w:b w:val="false"/>
                  <w:color w:val="0000FF"/>
                  <w:sz w:val="20"/>
                  <w:u w:val="single"/>
                </w:rPr>
                <w:t>12. Stockholders’ Equity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63">
              <w:r>
                <w:rPr>
                  <w:rStyle w:val="InternetLink"/>
                  <w:rFonts w:ascii="Arial;sans-serif" w:hAnsi="Arial;sans-serif"/>
                  <w:b w:val="false"/>
                  <w:strike w:val="false"/>
                  <w:dstrike w:val="false"/>
                  <w:color w:val="000000"/>
                  <w:sz w:val="20"/>
                  <w:u w:val="none"/>
                  <w:effect w:val="none"/>
                </w:rPr>
                <w:t>116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69">
              <w:r>
                <w:rPr>
                  <w:rStyle w:val="InternetLink"/>
                  <w:rFonts w:ascii="Arial;sans-serif" w:hAnsi="Arial;sans-serif"/>
                  <w:b w:val="false"/>
                  <w:color w:val="0000FF"/>
                  <w:sz w:val="20"/>
                  <w:u w:val="single"/>
                </w:rPr>
                <w:t xml:space="preserve">13. Share-based Compensation Plans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69">
              <w:r>
                <w:rPr>
                  <w:rStyle w:val="InternetLink"/>
                  <w:rFonts w:ascii="Arial;sans-serif" w:hAnsi="Arial;sans-serif"/>
                  <w:b w:val="false"/>
                  <w:strike w:val="false"/>
                  <w:dstrike w:val="false"/>
                  <w:color w:val="000000"/>
                  <w:sz w:val="20"/>
                  <w:u w:val="none"/>
                  <w:effect w:val="none"/>
                </w:rPr>
                <w:t>117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72">
              <w:r>
                <w:rPr>
                  <w:rStyle w:val="InternetLink"/>
                  <w:rFonts w:ascii="Arial;sans-serif" w:hAnsi="Arial;sans-serif"/>
                  <w:b w:val="false"/>
                  <w:color w:val="0000FF"/>
                  <w:sz w:val="20"/>
                  <w:u w:val="single"/>
                </w:rPr>
                <w:t>14. Net Loss per Share Attributable to Common Stockholders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72">
              <w:r>
                <w:rPr>
                  <w:rStyle w:val="InternetLink"/>
                  <w:rFonts w:ascii="Arial;sans-serif" w:hAnsi="Arial;sans-serif"/>
                  <w:b w:val="false"/>
                  <w:strike w:val="false"/>
                  <w:dstrike w:val="false"/>
                  <w:color w:val="000000"/>
                  <w:sz w:val="20"/>
                  <w:u w:val="none"/>
                  <w:effect w:val="none"/>
                </w:rPr>
                <w:t>120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175">
              <w:r>
                <w:rPr>
                  <w:rStyle w:val="InternetLink"/>
                  <w:rFonts w:ascii="Arial;sans-serif" w:hAnsi="Arial;sans-serif"/>
                  <w:b w:val="false"/>
                  <w:color w:val="0000FF"/>
                  <w:sz w:val="20"/>
                  <w:u w:val="single"/>
                </w:rPr>
                <w:t>15. Commitments and Contingencies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175">
              <w:r>
                <w:rPr>
                  <w:rStyle w:val="InternetLink"/>
                  <w:rFonts w:ascii="Arial;sans-serif" w:hAnsi="Arial;sans-serif"/>
                  <w:b w:val="false"/>
                  <w:strike w:val="false"/>
                  <w:dstrike w:val="false"/>
                  <w:color w:val="000000"/>
                  <w:sz w:val="20"/>
                  <w:u w:val="none"/>
                  <w:effect w:val="none"/>
                </w:rPr>
                <w:t>120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bf3a626a994fc1ab674d4dc732cf2c_549755814740">
              <w:r>
                <w:rPr>
                  <w:rStyle w:val="InternetLink"/>
                  <w:rFonts w:ascii="Arial;sans-serif" w:hAnsi="Arial;sans-serif"/>
                  <w:b w:val="false"/>
                  <w:color w:val="0000FF"/>
                  <w:sz w:val="20"/>
                  <w:u w:val="single"/>
                </w:rPr>
                <w:t>16. Subsequent Events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bf3a626a994fc1ab674d4dc732cf2c_549755814740">
              <w:r>
                <w:rPr>
                  <w:rStyle w:val="InternetLink"/>
                  <w:rFonts w:ascii="Arial;sans-serif" w:hAnsi="Arial;sans-serif"/>
                  <w:b w:val="false"/>
                  <w:strike w:val="false"/>
                  <w:dstrike w:val="false"/>
                  <w:color w:val="000000"/>
                  <w:sz w:val="20"/>
                  <w:u w:val="none"/>
                  <w:effect w:val="none"/>
                </w:rPr>
                <w:t>121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9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the Board of Directors and Stockholders of Rent the Runway, Inc.</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Opinion on the Financial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Rent the Runway, Inc. and its subsidiary (the “Company”) as of January 31, 2025 and 2024, and the related consolidated statements of operations, of changes in stockholders' equity (deficit) and of cash flows for each of the three years in the period ended January 31, 2025, including the related notes (collectively referred to as the "consolidated financial statements"). In our opinion, the consolidated financial statements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Basis for Opinion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Emphasis of Matter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As discussed in Note 3 to the consolidated financial statements, the Company has incurred recurring net losses since inception and has long-term debt with a maturity date in October 2026. Management’s evaluation of the events and conditions and plans to mitigate these matters are also described in Note 3.</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PricewaterhouseCoopers LLP</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April 15, 2025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We have served as the Company’s auditor since</w:t>
      </w:r>
      <w:r>
        <w:rPr>
          <w:color w:val="FF0000"/>
        </w:rPr>
        <w:t xml:space="preserve"> </w:t>
      </w:r>
      <w:r>
        <w:rPr>
          <w:rFonts w:ascii="Arial;sans-serif" w:hAnsi="Arial;sans-serif"/>
          <w:b w:val="false"/>
          <w:color w:val="000000"/>
          <w:sz w:val="20"/>
        </w:rPr>
        <w:t>2020.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9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Arial;sans-serif" w:hAnsi="Arial;sans-serif"/>
            <w:b/>
            <w:color w:val="0000FF"/>
            <w:sz w:val="20"/>
            <w:u w:val="single"/>
            <w:shd w:fill="FFFFFF" w:val="clear"/>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4" w:type="dxa"/>
        <w:jc w:val="left"/>
        <w:tblInd w:w="0" w:type="dxa"/>
        <w:tblLayout w:type="fixed"/>
        <w:tblCellMar>
          <w:top w:w="28" w:type="dxa"/>
          <w:left w:w="28" w:type="dxa"/>
          <w:bottom w:w="28" w:type="dxa"/>
          <w:right w:w="28" w:type="dxa"/>
        </w:tblCellMar>
      </w:tblPr>
      <w:tblGrid>
        <w:gridCol w:w="1013"/>
        <w:gridCol w:w="891"/>
        <w:gridCol w:w="1260"/>
      </w:tblGrid>
      <w:tr>
        <w:trPr/>
        <w:tc>
          <w:tcPr>
            <w:tcW w:w="10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Consolidated Balance Sheets</w:t>
            </w:r>
          </w:p>
        </w:tc>
      </w:tr>
    </w:tbl>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3192"/>
        <w:gridCol w:w="2459"/>
        <w:gridCol w:w="2329"/>
        <w:gridCol w:w="210"/>
        <w:gridCol w:w="598"/>
        <w:gridCol w:w="117"/>
        <w:gridCol w:w="109"/>
        <w:gridCol w:w="109"/>
        <w:gridCol w:w="109"/>
        <w:gridCol w:w="210"/>
        <w:gridCol w:w="595"/>
        <w:gridCol w:w="168"/>
      </w:tblGrid>
      <w:tr>
        <w:trPr/>
        <w:tc>
          <w:tcPr>
            <w:tcW w:w="3192"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Assets</w:t>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assets:</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assets</w:t>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Rental product, net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Fixed assets, net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Intangible assets, net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 (Deficit)</w:t>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liabilities:</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Accounts payable</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Deferred revenue</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Customer credit liabilities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Long-term debt, net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liabilities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Commitments and Contingencies (Note 15)</w:t>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 (deficit)</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Class A common stock, $0.001 par value; 300,000,000 shares authorized as of January 31, 2025 and 2024; 3,761,469 and 3,390,587 shares issued and outstanding as of January 31, 2025 and 2024, respectively</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Class B common stock, $0.001 par value; 50,000,000 shares authorized as of January 31, 2025 and 2024; 155,463 and 154,928 shares issued and outstanding as of January 31, 2025 and 2024, respectively</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$0.001 par value; 10,000,000 shares authorized as of January 31, 2025 and 2024; 0 shares issued and outstanding as of January 31, 2025 and 2024</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Accumulated deficit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stockholders’ equity (deficit)</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 (deficit)</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93"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tbl>
      <w:tblPr>
        <w:tblW w:w="3809" w:type="dxa"/>
        <w:jc w:val="left"/>
        <w:tblInd w:w="0" w:type="dxa"/>
        <w:tblLayout w:type="fixed"/>
        <w:tblCellMar>
          <w:top w:w="28" w:type="dxa"/>
          <w:left w:w="28" w:type="dxa"/>
          <w:bottom w:w="28" w:type="dxa"/>
          <w:right w:w="28" w:type="dxa"/>
        </w:tblCellMar>
      </w:tblPr>
      <w:tblGrid>
        <w:gridCol w:w="1220"/>
        <w:gridCol w:w="1072"/>
        <w:gridCol w:w="1517"/>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Consolidated Statements of Operations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250"/>
        <w:gridCol w:w="1758"/>
        <w:gridCol w:w="1779"/>
        <w:gridCol w:w="109"/>
        <w:gridCol w:w="109"/>
        <w:gridCol w:w="109"/>
        <w:gridCol w:w="251"/>
        <w:gridCol w:w="770"/>
        <w:gridCol w:w="109"/>
        <w:gridCol w:w="109"/>
        <w:gridCol w:w="109"/>
        <w:gridCol w:w="109"/>
        <w:gridCol w:w="251"/>
        <w:gridCol w:w="770"/>
        <w:gridCol w:w="109"/>
        <w:gridCol w:w="109"/>
        <w:gridCol w:w="109"/>
        <w:gridCol w:w="109"/>
        <w:gridCol w:w="251"/>
        <w:gridCol w:w="770"/>
        <w:gridCol w:w="156"/>
      </w:tblGrid>
      <w:tr>
        <w:trPr/>
        <w:tc>
          <w:tcPr>
            <w:tcW w:w="225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Years Ended January 31,</w:t>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Fulfillment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3,776,633 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3,418,382 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3,212,746 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b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94"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tbl>
      <w:tblPr>
        <w:tblW w:w="5700" w:type="dxa"/>
        <w:jc w:val="left"/>
        <w:tblInd w:w="0" w:type="dxa"/>
        <w:tblLayout w:type="fixed"/>
        <w:tblCellMar>
          <w:top w:w="28" w:type="dxa"/>
          <w:left w:w="28" w:type="dxa"/>
          <w:bottom w:w="28" w:type="dxa"/>
          <w:right w:w="28" w:type="dxa"/>
        </w:tblCellMar>
      </w:tblPr>
      <w:tblGrid>
        <w:gridCol w:w="1826"/>
        <w:gridCol w:w="1604"/>
        <w:gridCol w:w="2270"/>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Consolidated Statements of Changes in Stockholders’ Equity (Deficit)</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amounts)</w:t>
      </w:r>
    </w:p>
    <w:tbl>
      <w:tblPr>
        <w:tblW w:w="10205" w:type="dxa"/>
        <w:jc w:val="left"/>
        <w:tblInd w:w="0" w:type="dxa"/>
        <w:tblLayout w:type="fixed"/>
        <w:tblCellMar>
          <w:top w:w="28" w:type="dxa"/>
          <w:left w:w="28" w:type="dxa"/>
          <w:bottom w:w="28" w:type="dxa"/>
          <w:right w:w="28" w:type="dxa"/>
        </w:tblCellMar>
      </w:tblPr>
      <w:tblGrid>
        <w:gridCol w:w="1118"/>
        <w:gridCol w:w="920"/>
        <w:gridCol w:w="923"/>
        <w:gridCol w:w="109"/>
        <w:gridCol w:w="109"/>
        <w:gridCol w:w="109"/>
        <w:gridCol w:w="488"/>
        <w:gridCol w:w="488"/>
        <w:gridCol w:w="241"/>
        <w:gridCol w:w="111"/>
        <w:gridCol w:w="111"/>
        <w:gridCol w:w="111"/>
        <w:gridCol w:w="226"/>
        <w:gridCol w:w="436"/>
        <w:gridCol w:w="119"/>
        <w:gridCol w:w="109"/>
        <w:gridCol w:w="109"/>
        <w:gridCol w:w="109"/>
        <w:gridCol w:w="216"/>
        <w:gridCol w:w="632"/>
        <w:gridCol w:w="113"/>
        <w:gridCol w:w="109"/>
        <w:gridCol w:w="109"/>
        <w:gridCol w:w="109"/>
        <w:gridCol w:w="238"/>
        <w:gridCol w:w="883"/>
        <w:gridCol w:w="125"/>
        <w:gridCol w:w="109"/>
        <w:gridCol w:w="109"/>
        <w:gridCol w:w="109"/>
        <w:gridCol w:w="295"/>
        <w:gridCol w:w="884"/>
        <w:gridCol w:w="219"/>
      </w:tblGrid>
      <w:tr>
        <w:trPr/>
        <w:tc>
          <w:tcPr>
            <w:tcW w:w="11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 (Deficit)</w:t>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3,151,838 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3,251,138 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stock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3,545,515 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stock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3,916,932 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95"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tbl>
      <w:tblPr>
        <w:tblW w:w="3869" w:type="dxa"/>
        <w:jc w:val="left"/>
        <w:tblInd w:w="0" w:type="dxa"/>
        <w:tblLayout w:type="fixed"/>
        <w:tblCellMar>
          <w:top w:w="28" w:type="dxa"/>
          <w:left w:w="28" w:type="dxa"/>
          <w:bottom w:w="28" w:type="dxa"/>
          <w:right w:w="28" w:type="dxa"/>
        </w:tblCellMar>
      </w:tblPr>
      <w:tblGrid>
        <w:gridCol w:w="1239"/>
        <w:gridCol w:w="1089"/>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Cash Flows</w:t>
            </w:r>
          </w:p>
        </w:tc>
      </w:tr>
    </w:tbl>
    <w:p>
      <w:pPr>
        <w:pStyle w:val="TextBody"/>
        <w:bidi w:val="0"/>
        <w:spacing w:lineRule="auto" w:line="288" w:before="120" w:after="283"/>
        <w:jc w:val="left"/>
        <w:rPr/>
      </w:pPr>
      <w:r>
        <w:rPr>
          <w:rFonts w:ascii="Arial;sans-serif" w:hAnsi="Arial;sans-serif"/>
          <w:b w:val="false"/>
          <w:i/>
          <w:color w:val="000000"/>
          <w:sz w:val="20"/>
          <w:shd w:fill="FFFFFF" w:val="clear"/>
        </w:rPr>
        <w:t>(In millions)</w:t>
      </w:r>
      <w:r>
        <w:rPr>
          <w:color w:val="000000"/>
          <w:shd w:fill="FFFFFF" w:val="clear"/>
        </w:rPr>
        <w:t> </w:t>
      </w:r>
    </w:p>
    <w:tbl>
      <w:tblPr>
        <w:tblW w:w="10205" w:type="dxa"/>
        <w:jc w:val="center"/>
        <w:tblInd w:w="0" w:type="dxa"/>
        <w:tblLayout w:type="fixed"/>
        <w:tblCellMar>
          <w:top w:w="28" w:type="dxa"/>
          <w:left w:w="28" w:type="dxa"/>
          <w:bottom w:w="28" w:type="dxa"/>
          <w:right w:w="28" w:type="dxa"/>
        </w:tblCellMar>
      </w:tblPr>
      <w:tblGrid>
        <w:gridCol w:w="2452"/>
        <w:gridCol w:w="2067"/>
        <w:gridCol w:w="2076"/>
        <w:gridCol w:w="211"/>
        <w:gridCol w:w="579"/>
        <w:gridCol w:w="109"/>
        <w:gridCol w:w="109"/>
        <w:gridCol w:w="109"/>
        <w:gridCol w:w="109"/>
        <w:gridCol w:w="211"/>
        <w:gridCol w:w="684"/>
        <w:gridCol w:w="109"/>
        <w:gridCol w:w="109"/>
        <w:gridCol w:w="109"/>
        <w:gridCol w:w="109"/>
        <w:gridCol w:w="211"/>
        <w:gridCol w:w="684"/>
        <w:gridCol w:w="158"/>
      </w:tblGrid>
      <w:tr>
        <w:trPr/>
        <w:tc>
          <w:tcPr>
            <w:tcW w:w="2452"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January 31,</w:t>
            </w:r>
          </w:p>
        </w:tc>
      </w:tr>
      <w:tr>
        <w:trPr/>
        <w:tc>
          <w:tcPr>
            <w:tcW w:w="6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OPERATING ACTIVITIES</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provided by operating activities:</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Rental product depreciation and write-offs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Write-off of rental product sold</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lease termination and write-off of fixed and intangible assets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asset impairment related to restructuring</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rental product sold</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(Gain) / loss from liquidation of rental product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Accrual of paid-in-kind interest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debt discount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revenue and customer credit liabilities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INVESTING ACTIVITIES</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rental product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liquidation of rental product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product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and intangible assets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FINANCING ACTIVITIES</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short-term financing agreements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payments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96"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rPr>
          <w:t>Table of Contents</w:t>
        </w:r>
      </w:hyperlink>
    </w:p>
    <w:tbl>
      <w:tblPr>
        <w:tblW w:w="3869" w:type="dxa"/>
        <w:jc w:val="center"/>
        <w:tblInd w:w="0" w:type="dxa"/>
        <w:tblLayout w:type="fixed"/>
        <w:tblCellMar>
          <w:top w:w="28" w:type="dxa"/>
          <w:left w:w="28" w:type="dxa"/>
          <w:bottom w:w="28" w:type="dxa"/>
          <w:right w:w="28" w:type="dxa"/>
        </w:tblCellMar>
      </w:tblPr>
      <w:tblGrid>
        <w:gridCol w:w="1239"/>
        <w:gridCol w:w="1089"/>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Cash Flows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687"/>
        <w:gridCol w:w="2104"/>
        <w:gridCol w:w="2115"/>
        <w:gridCol w:w="211"/>
        <w:gridCol w:w="511"/>
        <w:gridCol w:w="109"/>
        <w:gridCol w:w="109"/>
        <w:gridCol w:w="109"/>
        <w:gridCol w:w="109"/>
        <w:gridCol w:w="211"/>
        <w:gridCol w:w="511"/>
        <w:gridCol w:w="109"/>
        <w:gridCol w:w="109"/>
        <w:gridCol w:w="109"/>
        <w:gridCol w:w="109"/>
        <w:gridCol w:w="211"/>
        <w:gridCol w:w="616"/>
        <w:gridCol w:w="156"/>
      </w:tblGrid>
      <w:tr>
        <w:trPr/>
        <w:tc>
          <w:tcPr>
            <w:tcW w:w="268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January 31,</w:t>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8"/>
              </w:rPr>
            </w:pPr>
            <w:r>
              <w:rPr>
                <w:rFonts w:ascii="Arial;sans-serif" w:hAnsi="Arial;sans-serif"/>
                <w:b/>
                <w:color w:val="000000"/>
                <w:sz w:val="18"/>
              </w:rPr>
              <w:t>2023</w:t>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Reconciliation of Cash and Cash Equivalents and Restricted Cash to the Consolidated Balance Sheets: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cash and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Cash Flow Information:</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payments (receipts) for: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paid on loans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paid on financing leases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Fixed operating lease payments, net </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assets and intangibles received in the prior period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product received in the prior period</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financing and investing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lease right-of-use asset amortization</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6"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ROU assets obtained in exchange for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ROU assets or lease liabilities due to modification or other reassessment events to operating and finance leases</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6"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assets and intangibles not yet settled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product not yet settled</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loss on asset impairment: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 related to the loss on asset impairment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97"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540"/>
        <w:jc w:val="left"/>
        <w:rPr/>
      </w:pPr>
      <w:r>
        <w:rPr>
          <w:rFonts w:ascii="Arial;sans-serif" w:hAnsi="Arial;sans-serif"/>
          <w:b/>
          <w:i/>
          <w:color w:val="000000"/>
          <w:sz w:val="20"/>
        </w:rPr>
        <w:t>1.</w:t>
      </w:r>
      <w:r>
        <w:rPr>
          <w:rFonts w:ascii="Arial;sans-serif" w:hAnsi="Arial;sans-serif"/>
          <w:b/>
          <w:color w:val="000000"/>
          <w:sz w:val="20"/>
        </w:rPr>
        <w:t>Business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Description of Business</w:t>
      </w:r>
    </w:p>
    <w:p>
      <w:pPr>
        <w:pStyle w:val="TextBody"/>
        <w:bidi w:val="0"/>
        <w:spacing w:lineRule="auto" w:line="288" w:before="120" w:after="283"/>
        <w:jc w:val="left"/>
        <w:rPr/>
      </w:pPr>
      <w:r>
        <w:rPr>
          <w:rFonts w:ascii="Arial;sans-serif" w:hAnsi="Arial;sans-serif"/>
          <w:b w:val="false"/>
          <w:color w:val="000000"/>
          <w:sz w:val="20"/>
          <w:shd w:fill="FFFFFF" w:val="clear"/>
        </w:rPr>
        <w:t>Rent the Runway, Inc.’s (the “Company”) mission is to empower women to feel their best every day. Launche</w:t>
      </w:r>
      <w:r>
        <w:rPr>
          <w:rFonts w:ascii="Arial;sans-serif" w:hAnsi="Arial;sans-serif"/>
          <w:b w:val="false"/>
          <w:color w:val="000000"/>
          <w:sz w:val="20"/>
        </w:rPr>
        <w:t>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w:t>
      </w:r>
      <w:r>
        <w:rPr>
          <w:rFonts w:ascii="Arial;sans-serif" w:hAnsi="Arial;sans-serif"/>
          <w:b w:val="false"/>
          <w:color w:val="000000"/>
          <w:sz w:val="20"/>
          <w:shd w:fill="FFFFFF" w:val="clear"/>
        </w:rPr>
        <w:t xml:space="preserve">ny’s corporate headquarters is located in Brooklyn, New York and its operational facilities are located in Secaucus, New Jersey, and Arlington, Texas. Its wholly-owned subsidiary, Rent the Runway Limited (the “Subsidiary”), is located in Galway, Ireland, and is focused on software development and support activities.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revenue is currently generated in the United States. Substantially all revenue is derived from rental subscription fees and a-la-carte rental fees, with a portion derived from the sale of apparel and accessories and other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2.Summary of Significant Accounting Policies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Basis of Presentation</w:t>
      </w:r>
    </w:p>
    <w:p>
      <w:pPr>
        <w:pStyle w:val="TextBody"/>
        <w:bidi w:val="0"/>
        <w:spacing w:lineRule="auto" w:line="288" w:before="120" w:after="283"/>
        <w:jc w:val="left"/>
        <w:rPr/>
      </w:pPr>
      <w:r>
        <w:rPr>
          <w:rFonts w:ascii="Arial;sans-serif" w:hAnsi="Arial;sans-serif"/>
          <w:b w:val="false"/>
          <w:color w:val="000000"/>
          <w:sz w:val="20"/>
          <w:shd w:fill="FFFFFF" w:val="clear"/>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w:t>
      </w:r>
      <w:r>
        <w:rPr>
          <w:color w:val="000000"/>
        </w:rPr>
        <w:t>”</w:t>
      </w:r>
      <w:r>
        <w:rPr>
          <w:rFonts w:ascii="Arial;sans-serif" w:hAnsi="Arial;sans-serif"/>
          <w:b w:val="false"/>
          <w:color w:val="000000"/>
          <w:sz w:val="20"/>
        </w:rPr>
        <w:t>). As further discussed in the Reverse Stock Split section below, all per share amounts and common shares amounts have been adjusted on a retroactive basis to reflect the Reverse Stock Split (as defined below) which became effective in April 2024.</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Reverse Stock Split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Amended and Restated Certificate of Incorporation as of October 29, 2021 authorizes the Company to issue 300,000,000 shares of Class A common stock, par value $0.001 per share, 50,000,000 shares of Class B common stock, par value $0.001 per share and 10,000,000 shares of preferred stock, par value $0.001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See Note 12 - Stockholders’ Equity for additional information. </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Fiscal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fiscal year ends on January 31 of the next calendar year. For example, references to “fiscal year 2025” refer to the fiscal year ending January 31, 2026, references to “fiscal year 2024” refer to the fiscal year ended January 31, 2025, and references to “fiscal year 2023” refer to the fiscal year ended January 31, 2024.</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Segment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98"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key measure of segment profit or loss that the CODM uses to make operating decisions, allocate resources, and evaluate financial performance is the Company’s net loss as reported in the Company’s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Significant expenses within net loss include fulfillment, technology, marketing, and general and administrative expenses, rental product depreciation and revenue share, and other depreciation and amortization. These operating expenses are each separately presented in the consolidated statements of operations. Other segment items within net loss include interest income (expense), net, other income (expense), net and income tax benefit (expense). The CODM evaluates financial performance by comparing consolidated expenses against the budget and forecasted expenses to inform decision-making.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revenue is attributed to customers based in the United States and substantially all the Company’s long-lived assets are located in the United States.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Use of Estimates</w:t>
      </w:r>
    </w:p>
    <w:p>
      <w:pPr>
        <w:pStyle w:val="TextBody"/>
        <w:bidi w:val="0"/>
        <w:spacing w:lineRule="auto" w:line="288" w:before="120" w:after="283"/>
        <w:jc w:val="left"/>
        <w:rPr/>
      </w:pPr>
      <w:r>
        <w:rPr>
          <w:rFonts w:ascii="Arial;sans-serif" w:hAnsi="Arial;sans-serif"/>
          <w:b w:val="false"/>
          <w:color w:val="000000"/>
          <w:sz w:val="20"/>
          <w:shd w:fill="FFFFFF" w:val="clear"/>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valuation of share-based compensation and warrants, and</w:t>
      </w:r>
      <w:r>
        <w:rPr>
          <w:color w:val="000000"/>
        </w:rPr>
        <w:t xml:space="preserve"> </w:t>
      </w:r>
      <w:r>
        <w:rPr>
          <w:rFonts w:ascii="Arial;sans-serif" w:hAnsi="Arial;sans-serif"/>
          <w:b w:val="false"/>
          <w:color w:val="000000"/>
          <w:sz w:val="20"/>
        </w:rPr>
        <w:t>recoverability of long-lived assets</w:t>
      </w:r>
      <w:r>
        <w:rPr>
          <w:rFonts w:ascii="Arial;sans-serif" w:hAnsi="Arial;sans-serif"/>
          <w:b w:val="false"/>
          <w:color w:val="000000"/>
          <w:sz w:val="20"/>
          <w:shd w:fill="FFFFFF" w:val="clear"/>
        </w:rPr>
        <w:t>.</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January 31, 2025,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Concentrations of Credit Risks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pStyle w:val="TextBody"/>
        <w:bidi w:val="0"/>
        <w:spacing w:lineRule="auto" w:line="288" w:before="240" w:after="283"/>
        <w:jc w:val="left"/>
        <w:rPr/>
      </w:pPr>
      <w:r>
        <w:rPr>
          <w:rFonts w:ascii="Arial;sans-serif" w:hAnsi="Arial;sans-serif"/>
          <w:b w:val="false"/>
          <w:color w:val="000000"/>
          <w:sz w:val="20"/>
        </w:rPr>
        <w:t>No</w:t>
      </w:r>
      <w:r>
        <w:rPr>
          <w:color w:val="000000"/>
          <w:shd w:fill="FFFFFF" w:val="clear"/>
        </w:rPr>
        <w:t xml:space="preserve"> </w:t>
      </w:r>
      <w:r>
        <w:rPr>
          <w:rFonts w:ascii="Arial;sans-serif" w:hAnsi="Arial;sans-serif"/>
          <w:b w:val="false"/>
          <w:color w:val="000000"/>
          <w:sz w:val="20"/>
          <w:shd w:fill="FFFFFF" w:val="clear"/>
        </w:rPr>
        <w:t>single customer accounted for more than 5% of the Company’s revenue during the years ended January 31, 2025, 2024, and 2023.</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Fair Value Measurements and Financial Instruments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99"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1:    Observable inputs, such as quoted prices in active markets for identical assets and liabilities.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2:    Inputs other than the quoted prices in active markets that are observable either directly or indirectly.</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3:    Unobservable inputs, in which there is little or no market data which require the Company to develop its own assumptions.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considers all highly liquid investments with a maturity of three months or less when purchased to be cash equivalents. Cash and cash equivalents include funds in transit from banks for customer credit card transactions that settle in less than seven days. These funds totaled $1.7 million and $3.3 million as of January 31, 2025 and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and 2024, the Company had $9.1 million and $10.0 million, respectively, of current and noncurrent restricted cash that consisted primarily of letters of credit pledged as security deposits for the headquarters and operational facilities leases and letters of credit for rental product purchases and credit card transactions.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considers rental product to be a long-term productive asset and, as such, classifies it as a noncurrent asset on the Consolidated Balance Sheets.</w:t>
      </w:r>
    </w:p>
    <w:p>
      <w:pPr>
        <w:pStyle w:val="TextBody"/>
        <w:bidi w:val="0"/>
        <w:spacing w:lineRule="auto" w:line="288" w:before="240" w:after="283"/>
        <w:jc w:val="left"/>
        <w:rPr/>
      </w:pPr>
      <w:r>
        <w:rPr>
          <w:rFonts w:ascii="Arial;sans-serif" w:hAnsi="Arial;sans-serif"/>
          <w:b w:val="false"/>
          <w:color w:val="000000"/>
          <w:sz w:val="20"/>
          <w:shd w:fill="FFFFFF" w:val="clear"/>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r>
        <w:rPr>
          <w:color w:val="000000"/>
          <w:shd w:fill="FFFFFF" w:val="clear"/>
        </w:rPr>
        <w:t> </w:t>
      </w:r>
    </w:p>
    <w:tbl>
      <w:tblPr>
        <w:tblW w:w="3735" w:type="dxa"/>
        <w:jc w:val="left"/>
        <w:tblInd w:w="0" w:type="dxa"/>
        <w:tblLayout w:type="fixed"/>
        <w:tblCellMar>
          <w:top w:w="28" w:type="dxa"/>
          <w:left w:w="28" w:type="dxa"/>
          <w:bottom w:w="28" w:type="dxa"/>
          <w:right w:w="28" w:type="dxa"/>
        </w:tblCellMar>
      </w:tblPr>
      <w:tblGrid>
        <w:gridCol w:w="435"/>
        <w:gridCol w:w="381"/>
        <w:gridCol w:w="385"/>
        <w:gridCol w:w="320"/>
        <w:gridCol w:w="320"/>
        <w:gridCol w:w="321"/>
        <w:gridCol w:w="109"/>
        <w:gridCol w:w="109"/>
        <w:gridCol w:w="109"/>
        <w:gridCol w:w="247"/>
        <w:gridCol w:w="247"/>
        <w:gridCol w:w="75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Salvage Value</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accordance with its policy, the Company reviews the estimated useful lives and salvage values of rental product on an ongoing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00"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consolidated statements of operations within Rental product depreciation and revenue share. Write-offs for losses on lost, damaged, and unreturned apparel and accessories are also recorded within Rental product depreciation and revenue share.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Once it is no longer considered rentable, rental product in a sellable condition is classified as held for sale and written down to salvage value. The value of rental product held for sale as of January 31, 2025 and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was </w:t>
      </w:r>
      <w:r>
        <w:rPr>
          <w:rFonts w:ascii="Arial;sans-serif" w:hAnsi="Arial;sans-serif"/>
          <w:b w:val="false"/>
          <w:color w:val="000000"/>
          <w:sz w:val="20"/>
        </w:rPr>
        <w:t>$2.0 million</w:t>
      </w:r>
      <w:r>
        <w:rPr>
          <w:color w:val="000000"/>
          <w:shd w:fill="FFFFFF" w:val="clear"/>
        </w:rPr>
        <w:t xml:space="preserve"> </w:t>
      </w:r>
      <w:r>
        <w:rPr>
          <w:rFonts w:ascii="Arial;sans-serif" w:hAnsi="Arial;sans-serif"/>
          <w:b w:val="false"/>
          <w:color w:val="000000"/>
          <w:sz w:val="20"/>
          <w:shd w:fill="FFFFFF" w:val="clear"/>
        </w:rPr>
        <w:t xml:space="preserve">and $3.0 million, respectively. The accelerated depreciation related to rental product held for sale was </w:t>
      </w:r>
      <w:r>
        <w:rPr>
          <w:rFonts w:ascii="Arial;sans-serif" w:hAnsi="Arial;sans-serif"/>
          <w:b w:val="false"/>
          <w:color w:val="000000"/>
          <w:sz w:val="20"/>
        </w:rPr>
        <w:t>$5.7 million</w:t>
      </w:r>
      <w:r>
        <w:rPr>
          <w:rFonts w:ascii="Arial;sans-serif" w:hAnsi="Arial;sans-serif"/>
          <w:b w:val="false"/>
          <w:color w:val="000000"/>
          <w:sz w:val="20"/>
          <w:shd w:fill="FFFFFF" w:val="clear"/>
        </w:rPr>
        <w:t xml:space="preserve">, $4.9 million, and $6.9 million for the years ended January 31, 2025, 2024, and 2023, respectively. The accelerated depreciation is presented on the consolidated statements of operations within Rental product depreciation and revenue share.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When rental product is liquidated, the Company records the gain or loss calculated as proceeds, net of the remaining salvage value and costs to sell, within general and administrative expenses on the consolidated statement of operations. </w:t>
      </w:r>
      <w:r>
        <w:rPr>
          <w:rFonts w:ascii="Arial;sans-serif" w:hAnsi="Arial;sans-serif"/>
          <w:b w:val="false"/>
          <w:color w:val="000000"/>
          <w:sz w:val="20"/>
        </w:rPr>
        <w:t xml:space="preserve">The gain or loss from the liquidation of rental product is included as an adjustment to reconcile net loss to net cash used by operating activities in the consolidated statements of cash flows.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purchases of rental product as well as the proceeds from the sale and liquidation of rental product are classified as cash flows from investing activities on the consolidated statements of cash flows because the predominant activity of the rental product purchased is to generate rental revenue and such classification is consistent with the classification of long-term asset activity. </w:t>
      </w:r>
      <w:r>
        <w:rPr>
          <w:rFonts w:ascii="Arial;sans-serif" w:hAnsi="Arial;sans-serif"/>
          <w:b w:val="false"/>
          <w:color w:val="000000"/>
          <w:sz w:val="20"/>
        </w:rPr>
        <w:t xml:space="preserve">Proceeds from the liquidation of rental product, net of costs to sell, were $5.4 million, $4.6 million, and $8.8 million </w:t>
      </w:r>
      <w:r>
        <w:rPr>
          <w:rFonts w:ascii="Arial;sans-serif" w:hAnsi="Arial;sans-serif"/>
          <w:b w:val="false"/>
          <w:color w:val="000000"/>
          <w:sz w:val="20"/>
          <w:shd w:fill="FFFFFF" w:val="clear"/>
        </w:rPr>
        <w:t>for the years ended January 31, 2025</w:t>
      </w:r>
      <w:r>
        <w:rPr>
          <w:rFonts w:ascii="Arial;sans-serif" w:hAnsi="Arial;sans-serif"/>
          <w:b w:val="false"/>
          <w:color w:val="000000"/>
          <w:sz w:val="20"/>
        </w:rPr>
        <w:t>, 2024, and 2023, respectively. Proceeds from the</w:t>
      </w:r>
      <w:r>
        <w:rPr>
          <w:color w:val="000000"/>
          <w:shd w:fill="FFFFFF" w:val="clear"/>
        </w:rPr>
        <w:t xml:space="preserve"> </w:t>
      </w:r>
      <w:r>
        <w:rPr>
          <w:rFonts w:ascii="Arial;sans-serif" w:hAnsi="Arial;sans-serif"/>
          <w:b w:val="false"/>
          <w:color w:val="000000"/>
          <w:sz w:val="20"/>
          <w:shd w:fill="FFFFFF" w:val="clear"/>
        </w:rPr>
        <w:t xml:space="preserve">sale of rental product were </w:t>
      </w:r>
      <w:r>
        <w:rPr>
          <w:rFonts w:ascii="Arial;sans-serif" w:hAnsi="Arial;sans-serif"/>
          <w:b w:val="false"/>
          <w:color w:val="000000"/>
          <w:sz w:val="20"/>
        </w:rPr>
        <w:t>$28.1 million</w:t>
      </w:r>
      <w:r>
        <w:rPr>
          <w:rFonts w:ascii="Arial;sans-serif" w:hAnsi="Arial;sans-serif"/>
          <w:b w:val="false"/>
          <w:color w:val="000000"/>
          <w:sz w:val="20"/>
          <w:shd w:fill="FFFFFF" w:val="clear"/>
        </w:rPr>
        <w:t>, $23.3 million, and $17.9 million for the years ended January 31, 2025</w:t>
      </w:r>
      <w:r>
        <w:rPr>
          <w:rFonts w:ascii="Arial;sans-serif" w:hAnsi="Arial;sans-serif"/>
          <w:b w:val="false"/>
          <w:color w:val="000000"/>
          <w:sz w:val="20"/>
        </w:rPr>
        <w:t>, 2024, and 2023</w:t>
      </w:r>
      <w:r>
        <w:rPr>
          <w:rFonts w:ascii="Arial;sans-serif" w:hAnsi="Arial;sans-serif"/>
          <w:b w:val="false"/>
          <w:color w:val="000000"/>
          <w:sz w:val="20"/>
          <w:shd w:fill="FFFFFF" w:val="clear"/>
        </w:rPr>
        <w:t>,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technology in combination with its customer service department to recover rental items from delinquent customers.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Subscription and a-la-carte rental fees (“Subscription and Reserve rental revenue”) are recognized in accordance with Accounting Standard Update (“ASU”) 2016-02</w:t>
      </w:r>
      <w:r>
        <w:rPr>
          <w:rFonts w:ascii="Arial;sans-serif" w:hAnsi="Arial;sans-serif"/>
          <w:b w:val="false"/>
          <w:i/>
          <w:color w:val="000000"/>
          <w:sz w:val="20"/>
          <w:shd w:fill="FFFFFF" w:val="clear"/>
        </w:rPr>
        <w:t>, Leases, Topic 842</w:t>
      </w:r>
      <w:r>
        <w:rPr>
          <w:color w:val="000000"/>
          <w:shd w:fill="FFFFFF" w:val="clear"/>
        </w:rPr>
        <w:t> </w:t>
      </w:r>
      <w:r>
        <w:rPr>
          <w:rFonts w:ascii="Arial;sans-serif" w:hAnsi="Arial;sans-serif"/>
          <w:b w:val="false"/>
          <w:color w:val="000000"/>
          <w:sz w:val="20"/>
          <w:shd w:fill="FFFFFF" w:val="clear"/>
        </w:rPr>
        <w:t>(“ASC 842”). Other revenue, primarily related to the sale of rental product, is recognized under ASU 2014-09, </w:t>
      </w:r>
      <w:r>
        <w:rPr>
          <w:rFonts w:ascii="Arial;sans-serif" w:hAnsi="Arial;sans-serif"/>
          <w:b w:val="false"/>
          <w:i/>
          <w:color w:val="000000"/>
          <w:sz w:val="20"/>
          <w:shd w:fill="FFFFFF" w:val="clear"/>
        </w:rPr>
        <w:t>Revenue from Contracts with Customers, Topic 606</w:t>
      </w:r>
      <w:r>
        <w:rPr>
          <w:color w:val="000000"/>
          <w:shd w:fill="FFFFFF" w:val="clear"/>
        </w:rPr>
        <w:t> </w:t>
      </w:r>
      <w:r>
        <w:rPr>
          <w:rFonts w:ascii="Arial;sans-serif" w:hAnsi="Arial;sans-serif"/>
          <w:b w:val="false"/>
          <w:color w:val="000000"/>
          <w:sz w:val="20"/>
          <w:shd w:fill="FFFFFF" w:val="clear"/>
        </w:rPr>
        <w:t xml:space="preserve">(“ASC 606”) at the date of delivery of the product to the customer. Other revenue represented </w:t>
      </w:r>
      <w:r>
        <w:rPr>
          <w:rFonts w:ascii="Arial;sans-serif" w:hAnsi="Arial;sans-serif"/>
          <w:b w:val="false"/>
          <w:color w:val="000000"/>
          <w:sz w:val="20"/>
        </w:rPr>
        <w:t>13%</w:t>
      </w:r>
      <w:r>
        <w:rPr>
          <w:rFonts w:ascii="Arial;sans-serif" w:hAnsi="Arial;sans-serif"/>
          <w:b w:val="false"/>
          <w:color w:val="000000"/>
          <w:sz w:val="20"/>
          <w:shd w:fill="FFFFFF" w:val="clear"/>
        </w:rPr>
        <w:t xml:space="preserve">, 11%, and 9% of total revenue for the years ended January 31, 2025,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and 2023, respectively.</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01"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Company issued new gift cards during the year ended January 31, 2025. The new gift cards issued during the year were immaterial to the Company’s consolidated financial statements. During the years ended January 31, 2024 and 2023, the Company did not issue any new gift cards but customers were able to redeem gift cards sold in previous years. The C</w:t>
      </w:r>
      <w:r>
        <w:rPr>
          <w:rFonts w:ascii="Arial;sans-serif" w:hAnsi="Arial;sans-serif"/>
          <w:b w:val="false"/>
          <w:color w:val="000000"/>
          <w:sz w:val="20"/>
          <w:shd w:fill="FFFFFF" w:val="clear"/>
        </w:rPr>
        <w:t xml:space="preserve">ompany recognizes a liability at the time a gift card or customer credit is issued, and revenue is recognized upon redemption of the gift card or credit. The Company’s gift card liability is presented within Accrued expenses and other current liabilities on the Consolidated Balance Sheets and the Company’s customer credit liability is presented on the Consolidated Balance Sheets. During the year ended January 31, 2025, </w:t>
      </w:r>
      <w:r>
        <w:rPr>
          <w:rFonts w:ascii="Arial;sans-serif" w:hAnsi="Arial;sans-serif"/>
          <w:b w:val="false"/>
          <w:color w:val="000000"/>
          <w:sz w:val="20"/>
        </w:rPr>
        <w:t>$1.1 million</w:t>
      </w:r>
      <w:r>
        <w:rPr>
          <w:color w:val="000000"/>
          <w:shd w:fill="FFFFFF" w:val="clear"/>
        </w:rPr>
        <w:t xml:space="preserve"> </w:t>
      </w:r>
      <w:r>
        <w:rPr>
          <w:rFonts w:ascii="Arial;sans-serif" w:hAnsi="Arial;sans-serif"/>
          <w:b w:val="false"/>
          <w:color w:val="000000"/>
          <w:sz w:val="20"/>
          <w:shd w:fill="FFFFFF" w:val="clear"/>
        </w:rPr>
        <w:t>of credits included in the customer credit liability as of January 31, 2024 were redeemed.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Subscription and Reserve Rental Revenue</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pStyle w:val="TextBody"/>
        <w:bidi w:val="0"/>
        <w:spacing w:lineRule="auto" w:line="288" w:before="240" w:after="283"/>
        <w:jc w:val="left"/>
        <w:rPr/>
      </w:pPr>
      <w:r>
        <w:rPr>
          <w:rFonts w:ascii="Arial;sans-serif" w:hAnsi="Arial;sans-serif"/>
          <w:b w:val="false"/>
          <w:color w:val="000000"/>
          <w:sz w:val="20"/>
          <w:shd w:fill="FFFFFF" w:val="clear"/>
        </w:rPr>
        <w:t xml:space="preserve">The Company accrues for credits and refunds issued subsequent to the balance sheet date that relate to rentals prior to the balance sheet date. These amounts were </w:t>
      </w:r>
      <w:r>
        <w:rPr>
          <w:rFonts w:ascii="Arial;sans-serif" w:hAnsi="Arial;sans-serif"/>
          <w:b w:val="false"/>
          <w:color w:val="000000"/>
          <w:sz w:val="20"/>
        </w:rPr>
        <w:t>not</w:t>
      </w:r>
      <w:r>
        <w:rPr>
          <w:color w:val="000000"/>
          <w:shd w:fill="FFFFFF" w:val="clear"/>
        </w:rPr>
        <w:t xml:space="preserve"> </w:t>
      </w:r>
      <w:r>
        <w:rPr>
          <w:rFonts w:ascii="Arial;sans-serif" w:hAnsi="Arial;sans-serif"/>
          <w:b w:val="false"/>
          <w:color w:val="000000"/>
          <w:sz w:val="20"/>
          <w:shd w:fill="FFFFFF" w:val="clear"/>
        </w:rPr>
        <w:t xml:space="preserve">material as of January 31, 2025 and </w:t>
      </w:r>
      <w:r>
        <w:rPr>
          <w:rFonts w:ascii="Arial;sans-serif" w:hAnsi="Arial;sans-serif"/>
          <w:b w:val="false"/>
          <w:color w:val="000000"/>
          <w:sz w:val="20"/>
        </w:rPr>
        <w:t>2024</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excludes these taxes from the measurement of lease revenue and the associated expense. Additionally, the Company has elected the practical expedient under ASC 842 to not separate nonlease components from associated lease components for all asset classes. The Company considers the rental product as the lease component and shipping services performed during the lease term as nonlease components.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Other Revenue</w:t>
      </w:r>
    </w:p>
    <w:p>
      <w:pPr>
        <w:pStyle w:val="TextBody"/>
        <w:bidi w:val="0"/>
        <w:spacing w:lineRule="auto" w:line="288" w:before="120" w:after="283"/>
        <w:jc w:val="left"/>
        <w:rPr/>
      </w:pPr>
      <w:r>
        <w:rPr>
          <w:rFonts w:ascii="Arial;sans-serif" w:hAnsi="Arial;sans-serif"/>
          <w:b w:val="false"/>
          <w:color w:val="000000"/>
          <w:sz w:val="20"/>
          <w:shd w:fill="FFFFFF" w:val="clear"/>
        </w:rPr>
        <w:t xml:space="preserve">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w:t>
      </w:r>
      <w:r>
        <w:rPr>
          <w:rFonts w:ascii="Arial;sans-serif" w:hAnsi="Arial;sans-serif"/>
          <w:b w:val="false"/>
          <w:color w:val="000000"/>
          <w:sz w:val="20"/>
        </w:rPr>
        <w:t>not</w:t>
      </w:r>
      <w:r>
        <w:rPr>
          <w:color w:val="000000"/>
          <w:shd w:fill="FFFFFF" w:val="clear"/>
        </w:rPr>
        <w:t xml:space="preserve"> </w:t>
      </w:r>
      <w:r>
        <w:rPr>
          <w:rFonts w:ascii="Arial;sans-serif" w:hAnsi="Arial;sans-serif"/>
          <w:b w:val="false"/>
          <w:color w:val="000000"/>
          <w:sz w:val="20"/>
          <w:shd w:fill="FFFFFF" w:val="clear"/>
        </w:rPr>
        <w:t xml:space="preserve">have any material contractual receivables, assets or liabilities with respect to other revenue as of January 31, 2025 and </w:t>
      </w:r>
      <w:r>
        <w:rPr>
          <w:rFonts w:ascii="Arial;sans-serif" w:hAnsi="Arial;sans-serif"/>
          <w:b w:val="false"/>
          <w:color w:val="000000"/>
          <w:sz w:val="20"/>
        </w:rPr>
        <w:t>2024</w:t>
      </w:r>
      <w:r>
        <w:rPr>
          <w:rFonts w:ascii="Arial;sans-serif" w:hAnsi="Arial;sans-serif"/>
          <w:b w:val="false"/>
          <w:color w:val="000000"/>
          <w:sz w:val="20"/>
          <w:shd w:fill="FFFFFF" w:val="clear"/>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02"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other revenue may include revenue generated from pilots and other growth initiatives which may cause quarterly fluctuations in the Other revenue line.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Lease - Lessee Accounting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Subscription and Reserve Rental Revenue section above for the Company’s accounting policy related to lessor accounting.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IBR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IBR.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See Note 5 </w:t>
      </w:r>
      <w:r>
        <w:rPr>
          <w:color w:val="000000"/>
          <w:shd w:fill="FFFFFF" w:val="clear"/>
        </w:rPr>
        <w:t>–</w:t>
      </w:r>
      <w:r>
        <w:rPr>
          <w:color w:val="000000"/>
        </w:rPr>
        <w:t xml:space="preserve"> </w:t>
      </w:r>
      <w:r>
        <w:rPr>
          <w:rFonts w:ascii="Arial;sans-serif" w:hAnsi="Arial;sans-serif"/>
          <w:b w:val="false"/>
          <w:color w:val="000000"/>
          <w:sz w:val="20"/>
        </w:rPr>
        <w:t>Leases – Lessee Accounting for additional details.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lessees, the guidance provides a practical expedient, by class of underlying asset, to elect a combined single lease component presentation. This practical expedient was applied by the Company as a lessee to all asset classes.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ROU assets, operating lease ROU assets are presented as a separate line item on the Company’s Consolidated Balance Sheets, while finance lease ROU assets are included in Fixed assets, net on the Consolidated Balance Sheets. With respect to lease liabilities, operating lease liabilities are presented as separate line items, while finance lease liabilities are included in Accrued expenses and other current liabilities and Other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Fixed and Intangible Assets,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Fixed and intangible assets are stated at cost less accumulated depreciation and amortization.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and amortization of fixed and intangible assets are calculated on a straight-line basis over the estimated useful lives of the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03"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estimated useful lives of fixed and intangible assets are described below:</w:t>
      </w:r>
    </w:p>
    <w:p>
      <w:pPr>
        <w:pStyle w:val="TextBody"/>
        <w:bidi w:val="0"/>
        <w:spacing w:before="0" w:after="0"/>
        <w:jc w:val="left"/>
        <w:rPr/>
      </w:pPr>
      <w:r>
        <w:rPr/>
      </w:r>
    </w:p>
    <w:tbl>
      <w:tblPr>
        <w:tblW w:w="7634" w:type="dxa"/>
        <w:jc w:val="left"/>
        <w:tblInd w:w="0" w:type="dxa"/>
        <w:tblLayout w:type="fixed"/>
        <w:tblCellMar>
          <w:top w:w="28" w:type="dxa"/>
          <w:left w:w="28" w:type="dxa"/>
          <w:bottom w:w="28" w:type="dxa"/>
          <w:right w:w="28" w:type="dxa"/>
        </w:tblCellMar>
      </w:tblPr>
      <w:tblGrid>
        <w:gridCol w:w="1326"/>
        <w:gridCol w:w="1164"/>
        <w:gridCol w:w="1170"/>
        <w:gridCol w:w="1161"/>
        <w:gridCol w:w="1161"/>
        <w:gridCol w:w="1652"/>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Lesser of estimated useful life or lease term</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to 6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hardware</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Reusable packaging</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third-party software</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internally developed software</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 years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capitalizes third-party and internally-developed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Prepaid Expenses and Other Current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consist primarily of accounts receivable, net, interest receivable, prepaid insurance, prepaid technology expenses and prepaid taxes. </w:t>
      </w: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assets consist primarily of capitalized implementation costs incurred in cloud computing arrangements and deposits for periods that exceed one year from the balance sheet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Fulfillment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Fulfillment expenses consist of fulfillment costs to receive, process and fulfill customer orders, including fulfillment labor payroll and related costs, third-party shipping expenses, cost of packaging materials, cleaning expenses, and other fulfillment related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Technology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Technology expenses consist of technology payroll and related costs, professional services, and third-party software and license fees.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Marketing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Marketing expenses include online and mobile marketing, search engine optimization and email costs, marketing payroll and related expenses, agency fees, printed collateral, consumer research, and other related costs. Advertising costs amounted to $25.4 million, $28.5 million, and $30.7 million for the years ended January 31, 2025, 2024, and 2023, respectively. Costs associated with advertising campaigns are expensed when the advertising first appears in the media, and other advertising costs are expensed as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General and administrative expenses are comprised of all other employee payroll and related expenses, including customer service costs, occupancy costs (including warehouse-related), professional services, credit card fees, general warehouse and corporate expenses, and other administrative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04"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Rental Product Depreciation and Revenue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Rental product depreciation and revenue share expenses are comprised of depreciation and write-offs of rental product, and payments under revenue share arrangements with brand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 Depreciation and Amortization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depreciation and amortization expenses are comprised of depreciation and amortization amounts for fixed assets, intangible assets, and financing right-of-use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classification of expenses varies across industries. Accordingly, the Company’s categories of expenses may not be comparable to those of other companies.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Share-Based Compensation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 initial public offering (“IPO”) is based on the closing price of the common stock on the date of grant as reported on Nasdaq. Upon grant of awards, the Company also estimates an amount of forfeitures that will occur prior to vesting. There were no stock options granted during the years ended </w:t>
      </w:r>
      <w:r>
        <w:rPr>
          <w:rFonts w:ascii="Arial;sans-serif" w:hAnsi="Arial;sans-serif"/>
          <w:b w:val="false"/>
          <w:color w:val="000000"/>
          <w:sz w:val="20"/>
        </w:rPr>
        <w:t>January 31, 2025</w:t>
      </w:r>
      <w:r>
        <w:rPr>
          <w:color w:val="000000"/>
          <w:shd w:fill="FFFFFF" w:val="clear"/>
        </w:rPr>
        <w:t xml:space="preserve"> </w:t>
      </w:r>
      <w:r>
        <w:rPr>
          <w:rFonts w:ascii="Arial;sans-serif" w:hAnsi="Arial;sans-serif"/>
          <w:b w:val="false"/>
          <w:color w:val="000000"/>
          <w:sz w:val="20"/>
          <w:shd w:fill="FFFFFF" w:val="clear"/>
        </w:rPr>
        <w:t>and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The Company has granted two types of restricted stock units (“RSUs”). Prior to</w:t>
      </w:r>
      <w:r>
        <w:rPr>
          <w:color w:val="000000"/>
        </w:rPr>
        <w:t xml:space="preserve"> </w:t>
      </w:r>
      <w:r>
        <w:rPr>
          <w:rFonts w:ascii="Arial;sans-serif" w:hAnsi="Arial;sans-serif"/>
          <w:b w:val="false"/>
          <w:color w:val="000000"/>
          <w:sz w:val="20"/>
        </w:rPr>
        <w:t>the Company’s IPO</w:t>
      </w:r>
      <w:r>
        <w:rPr>
          <w:rFonts w:ascii="Arial;sans-serif" w:hAnsi="Arial;sans-serif"/>
          <w:b w:val="false"/>
          <w:color w:val="000000"/>
          <w:sz w:val="20"/>
          <w:shd w:fill="FFFFFF" w:val="clear"/>
        </w:rPr>
        <w:t>,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w:t>
      </w:r>
      <w:r>
        <w:rPr>
          <w:color w:val="000000"/>
        </w:rPr>
        <w:t xml:space="preserve"> </w:t>
      </w:r>
      <w:r>
        <w:rPr>
          <w:rFonts w:ascii="Arial;sans-serif" w:hAnsi="Arial;sans-serif"/>
          <w:b w:val="false"/>
          <w:color w:val="000000"/>
          <w:sz w:val="20"/>
        </w:rPr>
        <w:t>liquidity-based vesting condition was satisfied upon the effectiveness of the Company’s IPO</w:t>
      </w:r>
      <w:r>
        <w:rPr>
          <w:rFonts w:ascii="Arial;sans-serif" w:hAnsi="Arial;sans-serif"/>
          <w:b w:val="false"/>
          <w:color w:val="000000"/>
          <w:sz w:val="20"/>
          <w:shd w:fill="FFFFFF" w:val="clear"/>
        </w:rPr>
        <w:t xml:space="preserve">.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13 </w:t>
      </w:r>
      <w:r>
        <w:rPr>
          <w:color w:val="000000"/>
          <w:shd w:fill="FFFFFF" w:val="clear"/>
        </w:rPr>
        <w:t xml:space="preserve">– </w:t>
      </w:r>
      <w:r>
        <w:rPr>
          <w:rFonts w:ascii="Arial;sans-serif" w:hAnsi="Arial;sans-serif"/>
          <w:b w:val="false"/>
          <w:color w:val="000000"/>
          <w:sz w:val="20"/>
          <w:shd w:fill="FFFFFF" w:val="clear"/>
        </w:rPr>
        <w:t>Share-based Compensation Plans for a description of the accounting for share-based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Income and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 and expense consist primarily of interest on the Company’s debt facility, debt discount amortization, and financing lease interest expense offset by interest income earned. The Company recognized interest and debt discount amortization expense of $27.2 million, $38.9 million, and $38.7 million for the years ended January 31, 2025, 2024,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05"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recognizes the effect of income tax positions only if those positions are more likely than not to be sustained. Recognized income tax positions are measured at the amount that is greater than 50% likely of being realized. Changes in recognition or measurement are reflected in the period in which the change in judgment occurs.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Financial Accounting Standards Board (“FASB”) Staff Q&amp;A Topic No. 5, Accounting for Global Intangible Low-Taxed Income (“GILTI”), states that an entity can make an accounting policy election to either recognize deferred taxes for temporary differences that are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Long-Lived Asset Impairment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06"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years ended January 31, 2025 and 2024, the Company evaluated whether events or circumstances had changed such that it would indicate it is more likely than not that the carrying value of its long-lived assets may not be recoverable (triggering event). Given the Company’s stock price decline during the fourth quarter of fiscal year 2024 and the third quarter of fiscal year 2023, the Company concluded a triggering event had occurred and performed an impairment analysis of its long-lived asset groups as of January 31, 2025 and October 31, 2023. As of January 31, 2025, the Company’s long-lived asset groups consist of its sole reporting unit and the ROU asset related to the subleased ninth floor of its corporate headquarters in Brooklyn, NY. In connection with the commencement of the sublease in December 2024, the Company concluded the ROU asset for the subleased ninth floor to be its own asset group. Refer to Note 5 - Leases – Lessee Accounting for further details. The Company performed a quantitative assessment using the undiscounted future cash flows expected to be generated by the use and/or eventual disposition for each of the Company’s long-lived asset groups. The assessment for the Company’s sole reporting unit included consideration of key factors including projected enterprise cash flows, market capitalization and the fair value of the Company’s debt facility. The assessment for the ninth floor sublease of the Company’s corporate headquarters in Brooklyn, NY included consideration of the undiscounted future cash flows expected to be generated by the sublease. Based on the quantitative assessments, the undiscounted cash flows expected to be generated by the use and/or eventual disposition, as applicable, of the Company’s long-lived assets exceeded their carrying values. Therefore, no impairment was recognized as a result of these analyses for the years ended January 31, 2025 and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January 2024 restructuring plan as described in Note 4, Restructuring and Related Charges, the Company recorded asset impairment charges of $1.1 million during the year ended January 31, 2024 related to the discontinuation of a software implementation project.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September 2022 restructuring plan as described in Note 4, Restructuring and Related Charges, the Company recorded asset impairment charges of $5.3 million during the year ended January 31, 2023. These asset impairment charges consisted of a $4.9 million write-off of fixed assets and a $0.4 million write-off of accrued expenses, both relating to the discontinuation of two warehouse operations projects.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Loss per Share Attributable to Common Stockholders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computes net loss per share attributable to common stockholders under the two-class method required for multiple classes of common stock and participating securities. </w:t>
      </w:r>
      <w:r>
        <w:rPr>
          <w:rFonts w:ascii="Arial;sans-serif" w:hAnsi="Arial;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Diluted net loss per share attributable to common stockholders is computed by giving effect to all potentially dilutive securities outstanding for the period. For purposes of this calculation, stock options to purchase common stock, warrants to purchase common stock, and RSUs are considered potentially dilutive securities but have been excluded from the calculation of diluted net loss per share attributable to common stockholders as their effect is anti-dilutive.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shares of common stock associated with the equity-classified common stock warrants with an exercise price of $0.01 were considered outstanding for the purposes of computing basic and diluted net loss per share attributable to common stockholders because the shares could be issued for little or no consideration, were fully vested, and were exercisable after the original issuance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Liabilities for loss contingencies arising from claims, assessments, litigation, and other sources are recorded when it is probable that a liability has been incurred and the amount can be reasonably estimated. Legal costs incurred in connection with loss contingencies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07"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Foreign Currency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functional currency of the Subsidiary is the U.S. dollar, which is the functional currency of the Company. The local currency of the Subsidiary is the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Recently Issued and Adopted Accounting Pronouncements</w:t>
      </w:r>
    </w:p>
    <w:p>
      <w:pPr>
        <w:pStyle w:val="TextBody"/>
        <w:bidi w:val="0"/>
        <w:spacing w:lineRule="auto" w:line="288" w:before="18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 xml:space="preserve">Recently Adopted Accounting Pronouncements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Segment Reporting (Topic 280): Improvements to Reportable Segment Disclosures</w:t>
      </w:r>
    </w:p>
    <w:p>
      <w:pPr>
        <w:pStyle w:val="TextBody"/>
        <w:bidi w:val="0"/>
        <w:spacing w:lineRule="auto" w:line="288" w:before="120" w:after="283"/>
        <w:jc w:val="left"/>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 Improvements to Reportable Segment Disclosures</w:t>
      </w:r>
      <w:r>
        <w:rPr>
          <w:rFonts w:ascii="Arial;sans-serif" w:hAnsi="Arial;sans-serif"/>
          <w:b w:val="false"/>
          <w:color w:val="000000"/>
          <w:sz w:val="20"/>
        </w:rPr>
        <w:t>, to improve reportable segment disclosure requirements primarily through enhanced disclosures about significant segment expenses. This standard is effective for fiscal years beginning after December 15, 2023, and interim periods in fiscal years beginning after December 15, 2024. The ASU must be applied retrospectively for all periods presented in the financial statements. Early adoption is permitted. The Company adopted this standard during the year ended January 31, 2025 and enhanced its segment reporting disclosures. Refer to the “Segment Information” section above. Adoption of this standard did not have a material impact on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Debt - Debt with Conversion and Other Options and Derivatives and Hedging</w:t>
      </w:r>
    </w:p>
    <w:p>
      <w:pPr>
        <w:pStyle w:val="TextBody"/>
        <w:bidi w:val="0"/>
        <w:spacing w:lineRule="auto" w:line="288" w:before="120" w:after="283"/>
        <w:jc w:val="left"/>
        <w:rPr/>
      </w:pPr>
      <w:r>
        <w:rPr>
          <w:rFonts w:ascii="Arial;sans-serif" w:hAnsi="Arial;sans-serif"/>
          <w:b w:val="false"/>
          <w:color w:val="000000"/>
          <w:sz w:val="20"/>
          <w:shd w:fill="FFFFFF" w:val="clear"/>
        </w:rPr>
        <w:t>In August 2020, the FASB issued ASU 2020-06,</w:t>
      </w:r>
      <w:r>
        <w:rPr>
          <w:color w:val="000000"/>
          <w:shd w:fill="FFFFFF" w:val="clear"/>
        </w:rPr>
        <w:t> </w:t>
      </w:r>
      <w:r>
        <w:rPr>
          <w:rFonts w:ascii="Arial;sans-serif" w:hAnsi="Arial;sans-serif"/>
          <w:b w:val="false"/>
          <w:i/>
          <w:color w:val="000000"/>
          <w:sz w:val="20"/>
          <w:shd w:fill="FFFFFF" w:val="clear"/>
        </w:rPr>
        <w:t xml:space="preserve">Debt-Debt with Conversion and Other Options (Subtopic 470-20) and Derivatives and Hedging-Contracts in Entity’s Own Equity (Subtopic 815-40): Accounting for Convertible Instruments and Contracts in an Entity’s Own Equity. </w:t>
      </w:r>
      <w:r>
        <w:rPr>
          <w:rFonts w:ascii="Arial;sans-serif" w:hAnsi="Arial;sans-serif"/>
          <w:b w:val="false"/>
          <w:color w:val="000000"/>
          <w:sz w:val="20"/>
          <w:shd w:fill="FFFFFF" w:val="clear"/>
        </w:rPr>
        <w:t>The new guidance reduces complexity and improves comparability 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Company adopted this standard on February 1, 2024, and the adoption of this standard did not have a material impact on the consolidated financial statements.</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Recently Issued Accounting Pronouncements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Income Statement - Reporting Comprehensive Income - Expense Disaggregation Disclosures</w:t>
      </w:r>
    </w:p>
    <w:p>
      <w:pPr>
        <w:pStyle w:val="TextBody"/>
        <w:bidi w:val="0"/>
        <w:spacing w:lineRule="auto" w:line="288" w:before="120" w:after="283"/>
        <w:jc w:val="left"/>
        <w:rPr/>
      </w:pPr>
      <w:r>
        <w:rPr>
          <w:rFonts w:ascii="Arial;sans-serif" w:hAnsi="Arial;sans-serif"/>
          <w:b w:val="false"/>
          <w:color w:val="000000"/>
          <w:sz w:val="20"/>
          <w:shd w:fill="FFFFFF" w:val="clear"/>
        </w:rPr>
        <w:t xml:space="preserve">In </w:t>
      </w:r>
      <w:r>
        <w:rPr>
          <w:rFonts w:ascii="Arial;sans-serif" w:hAnsi="Arial;sans-serif"/>
          <w:b w:val="false"/>
          <w:color w:val="000000"/>
          <w:sz w:val="20"/>
        </w:rPr>
        <w:t xml:space="preserve">November 2024, the FASB issued ASU 2024-03, </w:t>
      </w:r>
      <w:r>
        <w:rPr>
          <w:rFonts w:ascii="Arial;sans-serif" w:hAnsi="Arial;sans-serif"/>
          <w:b w:val="false"/>
          <w:i/>
          <w:color w:val="000000"/>
          <w:sz w:val="20"/>
        </w:rPr>
        <w:t>Income Statement - Reporting Comprehensive Income - Expense Disaggregation Disclosures (Subtopic 220-40)</w:t>
      </w:r>
      <w:r>
        <w:rPr>
          <w:rFonts w:ascii="Arial;sans-serif" w:hAnsi="Arial;sans-serif"/>
          <w:b w:val="false"/>
          <w:color w:val="000000"/>
          <w:sz w:val="20"/>
        </w:rPr>
        <w:t>. In January 2025, the FASB issued ASU 2025-01,</w:t>
      </w:r>
      <w:r>
        <w:rPr>
          <w:color w:val="000000"/>
        </w:rPr>
        <w:t xml:space="preserve"> </w:t>
      </w:r>
      <w:r>
        <w:rPr>
          <w:rFonts w:ascii="Arial;sans-serif" w:hAnsi="Arial;sans-serif"/>
          <w:b w:val="false"/>
          <w:i/>
          <w:color w:val="000000"/>
          <w:sz w:val="20"/>
        </w:rPr>
        <w:t>Income Statement—Reporting Comprehensive Income—Expense Disaggregation Disclosures (Subtopic 220-40): Clarifying the Effective Date</w:t>
      </w:r>
      <w:r>
        <w:rPr>
          <w:color w:val="000000"/>
        </w:rPr>
        <w:t xml:space="preserve"> </w:t>
      </w:r>
      <w:r>
        <w:rPr>
          <w:rFonts w:ascii="Arial;sans-serif" w:hAnsi="Arial;sans-serif"/>
          <w:b w:val="false"/>
          <w:color w:val="000000"/>
          <w:sz w:val="20"/>
        </w:rPr>
        <w:t>to clarify the effective date of ASU 2024-03. The amendments require disclosure of additional information about specific expense categories in the notes to 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r>
        <w:rPr>
          <w:rFonts w:ascii="Arial;sans-serif" w:hAnsi="Arial;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08"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i/>
          <w:color w:val="000000"/>
          <w:sz w:val="20"/>
          <w:shd w:fill="FFFFFF" w:val="clear"/>
        </w:rPr>
        <w:t xml:space="preserve">Income Taxes </w:t>
      </w:r>
      <w:r>
        <w:rPr>
          <w:rFonts w:ascii="Arial;sans-serif" w:hAnsi="Arial;sans-serif"/>
          <w:b w:val="false"/>
          <w:i/>
          <w:color w:val="000000"/>
          <w:sz w:val="20"/>
        </w:rPr>
        <w:t>(Topic 740): Improvements to Income Tax Disclosures</w:t>
      </w:r>
    </w:p>
    <w:p>
      <w:pPr>
        <w:pStyle w:val="TextBody"/>
        <w:bidi w:val="0"/>
        <w:spacing w:lineRule="auto" w:line="288" w:before="120" w:after="283"/>
        <w:jc w:val="left"/>
        <w:rPr/>
      </w:pPr>
      <w:r>
        <w:rPr>
          <w:rFonts w:ascii="Arial;sans-serif" w:hAnsi="Arial;sans-serif"/>
          <w:b w:val="false"/>
          <w:color w:val="000000"/>
          <w:sz w:val="20"/>
          <w:shd w:fill="FFFFFF" w:val="clear"/>
        </w:rPr>
        <w:t xml:space="preserve">In </w:t>
      </w:r>
      <w:r>
        <w:rPr>
          <w:rFonts w:ascii="Arial;sans-serif" w:hAnsi="Arial;sans-serif"/>
          <w:b w:val="false"/>
          <w:color w:val="000000"/>
          <w:sz w:val="20"/>
        </w:rPr>
        <w:t xml:space="preserve">December 2023, the FASB issued ASU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3.Liquidity</w:t>
      </w:r>
    </w:p>
    <w:p>
      <w:pPr>
        <w:pStyle w:val="TextBody"/>
        <w:bidi w:val="0"/>
        <w:spacing w:lineRule="auto" w:line="288" w:before="120" w:after="283"/>
        <w:jc w:val="left"/>
        <w:rPr/>
      </w:pPr>
      <w:r>
        <w:rPr>
          <w:rFonts w:ascii="Arial;sans-serif" w:hAnsi="Arial;sans-serif"/>
          <w:b w:val="false"/>
          <w:color w:val="000000"/>
          <w:sz w:val="20"/>
        </w:rPr>
        <w:t xml:space="preserve">The Company has incurred net losses from operations of $(69.9) million for the year ended January 31, 2025, has incurred significant recurring net losses since inception, has an accumulated deficit of $(1,123.0) million as of January 31, 2025, and has historically relied on debt and equity financing to fund its operations. The Company’s cash flows from operations for the year ended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 xml:space="preserve">were $12.9 million. Cash out flows from investing activities for the year ended </w:t>
      </w:r>
      <w:r>
        <w:rPr>
          <w:rFonts w:ascii="Arial;sans-serif" w:hAnsi="Arial;sans-serif"/>
          <w:b w:val="false"/>
          <w:color w:val="000000"/>
          <w:sz w:val="20"/>
          <w:shd w:fill="FFFFFF" w:val="clear"/>
        </w:rPr>
        <w:t>January 31, 2025 were</w:t>
      </w:r>
      <w:r>
        <w:rPr>
          <w:color w:val="000000"/>
        </w:rPr>
        <w:t xml:space="preserve"> </w:t>
      </w:r>
      <w:r>
        <w:rPr>
          <w:rFonts w:ascii="Arial;sans-serif" w:hAnsi="Arial;sans-serif"/>
          <w:b w:val="false"/>
          <w:color w:val="000000"/>
          <w:sz w:val="20"/>
        </w:rPr>
        <w:t>$(20.1) million. As of January 31, 2025, the Company held cash and cash equivalents of $77.4 million and long-term debt of $333.7 million with a maturity date in October 2026.</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experienced year-over-year revenue growth, a reduction in net losses in fiscal years 2024 and 2023 and significantly reduced its cash flows from operations plus cash flows generated (used) in investing during the year ended January 31, 2025. To the extent the Company is impacted by macroeconomic trends, or other factors, including, but not limited to, lower demand for our business, increased rental product spend, the Company plans to reduce fixed and variable costs accordingly and has established plans to preserve existing cash liquidity, which includes additional reductions to labor, operating expenses, and/or capital expenditures. However, these actions may not provide sufficient incremental liquidity to fund the Company’s long-term obligations when they become current.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March 31, 2025, the Company entered into an Eleventh Amendment to the Credit Agreement with CHS (US) Management LLC (formerly Double Helix Pte Ltd. prior to January 2025) as administrative agent, and CHS US Investments LLC, as lender (as amended, the “2025 Amended Facility”). The 2025 Amended Facility amended the 2023 Amended Temasek Facility (as defined herein) to extend the deadline to mutually agree upon the Company’s fiscal year 2025 expenditure levels – covering rental product capital expenditures, fixed operating expenditures and marketing expenditures – from March 31, 2025 to May 30, 2025. The 2023 Amended Temasek Facility modified the Company’s obligations under the 2022 Amended Temasek Facility (as defined herein) to (i) eliminate all interest (both payment-in-kind and cash interest) for a period of six full fiscal quarters beginning with the fourth quarter of fiscal year 2023; (ii) reduce the minimum liquidity maintenance covenant under the 2023 Amended Temasek Facility from $50 million to $30 million; and (iii) provide that the Company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as defined in the agreement. In the event that the Company fails to comply with the covenants specified in the 2023 Amended Temasek Facility, the lender has the right to declare all borrowings outstanding, together with accrued and unpaid interest and fees, to be immediately due and payable.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2025 Amended Facility matures in October 2026. The Company intends to work constructively with the lender regarding the terms of such debt agreement. If the Company is unable to successfully restructure its long term debt beyond the period of twelve months from the date these financial statements are issued, its liquidity, results of operations, cash flows, and financial condition may be adversely impacted. However, the Company believes that it will have sufficient liquidity from cash on-hand and future operations to sustain its business operations, including interest payments that are scheduled to resume May 1, 2025, and satisfy the $30 million minimum liquidity maintenance covenant for at least the next twelve months from the date these financial statements are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09"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4.Restructuring and Related Charges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January 2024 Restructuring Plan</w:t>
      </w:r>
    </w:p>
    <w:p>
      <w:pPr>
        <w:pStyle w:val="TextBody"/>
        <w:bidi w:val="0"/>
        <w:spacing w:lineRule="auto" w:line="288" w:before="120" w:after="283"/>
        <w:jc w:val="left"/>
        <w:rPr/>
      </w:pPr>
      <w:r>
        <w:rPr>
          <w:rFonts w:ascii="Arial;sans-serif" w:hAnsi="Arial;sans-serif"/>
          <w:b w:val="false"/>
          <w:color w:val="000000"/>
          <w:sz w:val="20"/>
          <w:shd w:fill="FFFFFF" w:val="clear"/>
        </w:rPr>
        <w:t>On January 9, 2024, the Company announced a restructuring plan to focus its workforce and cost structure on key growth opportunities and support its profitability goals. The plan included a reduction in workforce of approximately 10% of its corporate employees</w:t>
      </w:r>
      <w:r>
        <w:rPr>
          <w:color w:val="000000"/>
        </w:rPr>
        <w:t xml:space="preserve"> </w:t>
      </w:r>
      <w:r>
        <w:rPr>
          <w:rFonts w:ascii="Arial;sans-serif" w:hAnsi="Arial;sans-serif"/>
          <w:b w:val="false"/>
          <w:color w:val="000000"/>
          <w:sz w:val="20"/>
        </w:rPr>
        <w:t>(primarily a reduction in force, with some open role closures/reduced backfills, and excludes potential hiring of new employees or other additions to the Company’s costs and expenses)</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Restructuring charges of </w:t>
      </w:r>
      <w:r>
        <w:rPr>
          <w:rFonts w:ascii="Arial;sans-serif" w:hAnsi="Arial;sans-serif"/>
          <w:b w:val="false"/>
          <w:color w:val="000000"/>
          <w:sz w:val="20"/>
        </w:rPr>
        <w:t>$0.2</w:t>
      </w:r>
      <w:r>
        <w:rPr>
          <w:color w:val="000000"/>
          <w:shd w:fill="FFFFFF" w:val="clear"/>
        </w:rPr>
        <w:t xml:space="preserve"> </w:t>
      </w:r>
      <w:r>
        <w:rPr>
          <w:rFonts w:ascii="Arial;sans-serif" w:hAnsi="Arial;sans-serif"/>
          <w:b w:val="false"/>
          <w:color w:val="000000"/>
          <w:sz w:val="20"/>
          <w:shd w:fill="FFFFFF" w:val="clear"/>
        </w:rPr>
        <w:t xml:space="preserve">million and </w:t>
      </w:r>
      <w:r>
        <w:rPr>
          <w:rFonts w:ascii="Arial;sans-serif" w:hAnsi="Arial;sans-serif"/>
          <w:b w:val="false"/>
          <w:color w:val="000000"/>
          <w:sz w:val="20"/>
        </w:rPr>
        <w:t>$2.0</w:t>
      </w:r>
      <w:r>
        <w:rPr>
          <w:color w:val="000000"/>
          <w:shd w:fill="FFFFFF" w:val="clear"/>
        </w:rPr>
        <w:t xml:space="preserve"> </w:t>
      </w:r>
      <w:r>
        <w:rPr>
          <w:rFonts w:ascii="Arial;sans-serif" w:hAnsi="Arial;sans-serif"/>
          <w:b w:val="false"/>
          <w:color w:val="000000"/>
          <w:sz w:val="20"/>
          <w:shd w:fill="FFFFFF" w:val="clear"/>
        </w:rPr>
        <w:t xml:space="preserve">million for severance and related costs were recognized during the years ended </w:t>
      </w:r>
      <w:r>
        <w:rPr>
          <w:rFonts w:ascii="Arial;sans-serif" w:hAnsi="Arial;sans-serif"/>
          <w:b w:val="false"/>
          <w:color w:val="000000"/>
          <w:sz w:val="20"/>
        </w:rPr>
        <w:t>January 31, 2025</w:t>
      </w:r>
      <w:r>
        <w:rPr>
          <w:color w:val="000000"/>
          <w:shd w:fill="FFFFFF" w:val="clear"/>
        </w:rPr>
        <w:t xml:space="preserve"> </w:t>
      </w:r>
      <w:r>
        <w:rPr>
          <w:rFonts w:ascii="Arial;sans-serif" w:hAnsi="Arial;sans-serif"/>
          <w:b w:val="false"/>
          <w:color w:val="000000"/>
          <w:sz w:val="20"/>
          <w:shd w:fill="FFFFFF" w:val="clear"/>
        </w:rPr>
        <w:t>and 2024</w:t>
      </w:r>
      <w:r>
        <w:rPr>
          <w:rFonts w:ascii="Arial;sans-serif" w:hAnsi="Arial;sans-serif"/>
          <w:b w:val="false"/>
          <w:color w:val="000000"/>
          <w:sz w:val="20"/>
        </w:rPr>
        <w:t>, respectively,</w:t>
      </w:r>
      <w:r>
        <w:rPr>
          <w:color w:val="000000"/>
          <w:shd w:fill="FFFFFF" w:val="clear"/>
        </w:rPr>
        <w:t xml:space="preserve"> </w:t>
      </w:r>
      <w:r>
        <w:rPr>
          <w:rFonts w:ascii="Arial;sans-serif" w:hAnsi="Arial;sans-serif"/>
          <w:b w:val="false"/>
          <w:color w:val="000000"/>
          <w:sz w:val="20"/>
          <w:shd w:fill="FFFFFF" w:val="clear"/>
        </w:rPr>
        <w:t xml:space="preserve">and are reflected in Restructuring charges on the Company’s Consolidated Statements of Operations. Cumulative charges related to severance and related costs incurred to date in connection with the January 2024 restructuring plan were </w:t>
      </w:r>
      <w:r>
        <w:rPr>
          <w:rFonts w:ascii="Arial;sans-serif" w:hAnsi="Arial;sans-serif"/>
          <w:b w:val="false"/>
          <w:color w:val="000000"/>
          <w:sz w:val="20"/>
        </w:rPr>
        <w:t>$2.2</w:t>
      </w:r>
      <w:r>
        <w:rPr>
          <w:color w:val="000000"/>
          <w:shd w:fill="FFFFFF" w:val="clear"/>
        </w:rPr>
        <w:t xml:space="preserve"> </w:t>
      </w:r>
      <w:r>
        <w:rPr>
          <w:rFonts w:ascii="Arial;sans-serif" w:hAnsi="Arial;sans-serif"/>
          <w:b w:val="false"/>
          <w:color w:val="000000"/>
          <w:sz w:val="20"/>
          <w:shd w:fill="FFFFFF" w:val="clear"/>
        </w:rPr>
        <w:t xml:space="preserve">million. Accrued restructuring charges were </w:t>
      </w:r>
      <w:r>
        <w:rPr>
          <w:rFonts w:ascii="Arial;sans-serif" w:hAnsi="Arial;sans-serif"/>
          <w:b w:val="false"/>
          <w:color w:val="000000"/>
          <w:sz w:val="20"/>
        </w:rPr>
        <w:t>$0.2</w:t>
      </w:r>
      <w:r>
        <w:rPr>
          <w:color w:val="000000"/>
          <w:shd w:fill="FFFFFF" w:val="clear"/>
        </w:rPr>
        <w:t xml:space="preserve"> </w:t>
      </w:r>
      <w:r>
        <w:rPr>
          <w:rFonts w:ascii="Arial;sans-serif" w:hAnsi="Arial;sans-serif"/>
          <w:b w:val="false"/>
          <w:color w:val="000000"/>
          <w:sz w:val="20"/>
          <w:shd w:fill="FFFFFF" w:val="clear"/>
        </w:rPr>
        <w:t xml:space="preserve">million and </w:t>
      </w:r>
      <w:r>
        <w:rPr>
          <w:rFonts w:ascii="Arial;sans-serif" w:hAnsi="Arial;sans-serif"/>
          <w:b w:val="false"/>
          <w:color w:val="000000"/>
          <w:sz w:val="20"/>
        </w:rPr>
        <w:t>$0.7</w:t>
      </w:r>
      <w:r>
        <w:rPr>
          <w:color w:val="000000"/>
          <w:shd w:fill="FFFFFF" w:val="clear"/>
        </w:rPr>
        <w:t xml:space="preserve"> </w:t>
      </w:r>
      <w:r>
        <w:rPr>
          <w:rFonts w:ascii="Arial;sans-serif" w:hAnsi="Arial;sans-serif"/>
          <w:b w:val="false"/>
          <w:color w:val="000000"/>
          <w:sz w:val="20"/>
          <w:shd w:fill="FFFFFF" w:val="clear"/>
        </w:rPr>
        <w:t xml:space="preserve">million as of </w:t>
      </w:r>
      <w:r>
        <w:rPr>
          <w:rFonts w:ascii="Arial;sans-serif" w:hAnsi="Arial;sans-serif"/>
          <w:b w:val="false"/>
          <w:color w:val="000000"/>
          <w:sz w:val="20"/>
        </w:rPr>
        <w:t xml:space="preserve">January 31, 2025 and 2024,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recorded asset impairment charges of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 The restructuring plan was substantially completed by the end of the second quarter of fiscal year 2024 and is expected to be fully completed by the end of the first quarter of fiscal year 2025.</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September 2022 Restructuring Plan</w:t>
      </w:r>
    </w:p>
    <w:p>
      <w:pPr>
        <w:pStyle w:val="TextBody"/>
        <w:bidi w:val="0"/>
        <w:spacing w:lineRule="auto" w:line="288" w:before="120" w:after="283"/>
        <w:jc w:val="left"/>
        <w:rPr/>
      </w:pPr>
      <w:r>
        <w:rPr>
          <w:rFonts w:ascii="Arial;sans-serif" w:hAnsi="Arial;sans-serif"/>
          <w:b w:val="false"/>
          <w:color w:val="000000"/>
          <w:sz w:val="20"/>
          <w:shd w:fill="FFFFFF" w:val="clear"/>
        </w:rPr>
        <w:t>On September 12, 2022, the Company announced a restructuring plan to reduce costs, streamline its organizational structure and drive operational efficiencies. The plan primarily included total workforce reductions of approximately 24% of corporate employees (primarily a reduction in force, with some open role closures/reduce</w:t>
      </w:r>
      <w:r>
        <w:rPr>
          <w:rFonts w:ascii="Arial;sans-serif" w:hAnsi="Arial;sans-serif"/>
          <w:b w:val="false"/>
          <w:color w:val="000000"/>
          <w:sz w:val="20"/>
        </w:rPr>
        <w:t>d backfills), reorganizing certain functions and reallocating resources to continue to focus on customer experience and growth initiatives.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Restructuring charges of $2.4 million for severance and related costs were recognized during the year ended January 31, 2023 and are reflected in Restructuring charges on the Company’s Consolidated Statements of Operations. Accrued restructuring charges as of January 31, 2023 were immaterial.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recorded asset impairment charges of $5.3 million, which consisted of a $4.9 million write-off of fixed assets and a $0.4 million write-off of accrued expenses, during the year ended January 31, 2023, both related to the discontinuation of two warehouse operations projects in connection with the September 2022 restructuring plan. The charge is reflected in Loss on asset impairment related to restructuring on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5.Leases - Lessee Accounting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real estate and equipment lease terms generally range from less than one year to 14 years and certain agreements include renewal options. To the extent that the Company is reasonably certain to exercise a lease renewal option, the assumption is included in the calculation of ROU assets and lease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10"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During </w:t>
      </w:r>
      <w:r>
        <w:rPr>
          <w:rFonts w:ascii="Arial;sans-serif" w:hAnsi="Arial;sans-serif"/>
          <w:b w:val="false"/>
          <w:color w:val="000000"/>
          <w:sz w:val="20"/>
          <w:shd w:fill="FFFFFF" w:val="clear"/>
        </w:rPr>
        <w:t xml:space="preserve">the year ended </w:t>
      </w:r>
      <w:r>
        <w:rPr>
          <w:rFonts w:ascii="Arial;sans-serif" w:hAnsi="Arial;sans-serif"/>
          <w:b w:val="false"/>
          <w:color w:val="000000"/>
          <w:sz w:val="20"/>
        </w:rPr>
        <w:t>January 31, 2023</w:t>
      </w:r>
      <w:r>
        <w:rPr>
          <w:rFonts w:ascii="Arial;sans-serif" w:hAnsi="Arial;sans-serif"/>
          <w:b w:val="false"/>
          <w:color w:val="000000"/>
          <w:sz w:val="20"/>
          <w:shd w:fill="FFFFFF" w:val="clear"/>
        </w:rPr>
        <w:t xml:space="preserve">, the Company amended the operating lease for its corporate headquarters in Brooklyn, NY, the terms of which terminated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floor of the leased space</w:t>
      </w:r>
      <w:r>
        <w:rPr>
          <w:rFonts w:ascii="Arial;sans-serif" w:hAnsi="Arial;sans-serif"/>
          <w:b w:val="false"/>
          <w:color w:val="000000"/>
          <w:sz w:val="20"/>
        </w:rPr>
        <w:t xml:space="preserv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w:t>
      </w:r>
      <w:r>
        <w:rPr>
          <w:rFonts w:ascii="Arial;sans-serif" w:hAnsi="Arial;sans-serif"/>
          <w:b w:val="false"/>
          <w:color w:val="000000"/>
          <w:sz w:val="20"/>
          <w:shd w:fill="FFFFFF" w:val="clear"/>
        </w:rPr>
        <w:t>on the Consolidated Statements of Operations within General and administrative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During the year ended January 31, 2024, </w:t>
      </w:r>
      <w:r>
        <w:rPr>
          <w:rFonts w:ascii="Arial;sans-serif" w:hAnsi="Arial;sans-serif"/>
          <w:b w:val="false"/>
          <w:color w:val="000000"/>
          <w:sz w:val="20"/>
          <w:shd w:fill="FFFFFF" w:val="clear"/>
        </w:rPr>
        <w:t>the Company amended the operating lease for its fulfillment center at 100 Metro Way in Secaucus, NJ, the terms of which extended the lease for an additional five years to August 31, 2029. The lease modification resulted in an adjustmen</w:t>
      </w:r>
      <w:r>
        <w:rPr>
          <w:rFonts w:ascii="Arial;sans-serif" w:hAnsi="Arial;sans-serif"/>
          <w:b w:val="false"/>
          <w:color w:val="000000"/>
          <w:sz w:val="20"/>
        </w:rPr>
        <w:t>t of $9.9 million to</w:t>
      </w:r>
      <w:r>
        <w:rPr>
          <w:color w:val="000000"/>
          <w:shd w:fill="FFFFFF" w:val="clear"/>
        </w:rPr>
        <w:t xml:space="preserve"> </w:t>
      </w:r>
      <w:r>
        <w:rPr>
          <w:rFonts w:ascii="Arial;sans-serif" w:hAnsi="Arial;sans-serif"/>
          <w:b w:val="false"/>
          <w:color w:val="000000"/>
          <w:sz w:val="20"/>
          <w:shd w:fill="FFFFFF" w:val="clear"/>
        </w:rPr>
        <w:t>lease liabilities and right-of-use assets</w:t>
      </w:r>
      <w:r>
        <w:rPr>
          <w:rFonts w:ascii="Arial;sans-serif" w:hAnsi="Arial;sans-serif"/>
          <w:b w:val="false"/>
          <w:color w:val="000000"/>
          <w:sz w:val="20"/>
        </w:rPr>
        <w:t>. The Company did not exercise its renewal option with respect to its lease for 55 Metro Way in Secaucus, NJ, which expired in accordance with its terms on August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year ended January 31, 2025, the Company 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Consolidated Statements of Operations. As a result of the ninth floor sublease, the Company concluded that a triggering event had occurred and performed an impairment analysis of the related ROU asset group. The Company performed a quantitative assessment using the undiscounted future cash flows expected to be generated by the sublease. Based on the quantitative assessment, the undiscounted cash flows expected to be generated by the ROU asset exceeded its carrying value. As a result, no impairment was recognized for the year ended January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and 2024, the weighted-average remaining lease term for operating leases was 6.58 years and 7.50 years, respectively, and the weighted-average discount rate was 16.11% and 16.12%, respectively. As of January 31, 2025 and 2024, the weighted-average remaining lease term for financing leases was 5.92 years and 4.73 years, respectively, and weighted-average discount rate was 16.62% and 16.44%,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table summarizes the components of lease costs incurred by the Company during the years ended January 31, 2025, 2024 and</w:t>
      </w:r>
      <w:r>
        <w:rPr>
          <w:color w:val="000000"/>
          <w:shd w:fill="FFFFFF" w:val="clear"/>
        </w:rPr>
        <w:t xml:space="preserve"> </w:t>
      </w:r>
      <w:r>
        <w:rPr>
          <w:rFonts w:ascii="Arial;sans-serif" w:hAnsi="Arial;sans-serif"/>
          <w:b w:val="false"/>
          <w:color w:val="000000"/>
          <w:sz w:val="20"/>
          <w:shd w:fill="FFFFFF" w:val="clear"/>
        </w:rPr>
        <w:t>2023</w:t>
      </w:r>
      <w:r>
        <w:rPr>
          <w:rFonts w:ascii="Arial;sans-serif" w:hAnsi="Arial;sans-serif"/>
          <w:b w:val="false"/>
          <w:color w:val="000000"/>
          <w:sz w:val="20"/>
        </w:rPr>
        <w:t>:</w:t>
      </w:r>
    </w:p>
    <w:p>
      <w:pPr>
        <w:pStyle w:val="TextBody"/>
        <w:bidi w:val="0"/>
        <w:spacing w:before="0" w:after="0"/>
        <w:jc w:val="left"/>
        <w:rPr/>
      </w:pPr>
      <w:r>
        <w:rPr/>
      </w:r>
    </w:p>
    <w:tbl>
      <w:tblPr>
        <w:tblW w:w="5382" w:type="dxa"/>
        <w:jc w:val="left"/>
        <w:tblInd w:w="0" w:type="dxa"/>
        <w:tblLayout w:type="fixed"/>
        <w:tblCellMar>
          <w:top w:w="28" w:type="dxa"/>
          <w:left w:w="28" w:type="dxa"/>
          <w:bottom w:w="28" w:type="dxa"/>
          <w:right w:w="28" w:type="dxa"/>
        </w:tblCellMar>
      </w:tblPr>
      <w:tblGrid>
        <w:gridCol w:w="760"/>
        <w:gridCol w:w="669"/>
        <w:gridCol w:w="671"/>
        <w:gridCol w:w="211"/>
        <w:gridCol w:w="541"/>
        <w:gridCol w:w="109"/>
        <w:gridCol w:w="109"/>
        <w:gridCol w:w="109"/>
        <w:gridCol w:w="109"/>
        <w:gridCol w:w="211"/>
        <w:gridCol w:w="541"/>
        <w:gridCol w:w="109"/>
        <w:gridCol w:w="109"/>
        <w:gridCol w:w="109"/>
        <w:gridCol w:w="109"/>
        <w:gridCol w:w="211"/>
        <w:gridCol w:w="54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fixed lease costs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costs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Sublease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11"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Company’s minimum fixed lease obligations under existing agreements as a lessee, excluding variable payments and short-term lease payments, as of January 31, 2025:</w:t>
      </w:r>
    </w:p>
    <w:p>
      <w:pPr>
        <w:pStyle w:val="TextBody"/>
        <w:bidi w:val="0"/>
        <w:spacing w:before="0" w:after="0"/>
        <w:jc w:val="left"/>
        <w:rPr/>
      </w:pPr>
      <w:r>
        <w:rPr/>
      </w:r>
    </w:p>
    <w:tbl>
      <w:tblPr>
        <w:tblW w:w="5683" w:type="dxa"/>
        <w:jc w:val="left"/>
        <w:tblInd w:w="0" w:type="dxa"/>
        <w:tblLayout w:type="fixed"/>
        <w:tblCellMar>
          <w:top w:w="28" w:type="dxa"/>
          <w:left w:w="28" w:type="dxa"/>
          <w:bottom w:w="28" w:type="dxa"/>
          <w:right w:w="28" w:type="dxa"/>
        </w:tblCellMar>
      </w:tblPr>
      <w:tblGrid>
        <w:gridCol w:w="1271"/>
        <w:gridCol w:w="1115"/>
        <w:gridCol w:w="1123"/>
        <w:gridCol w:w="220"/>
        <w:gridCol w:w="566"/>
        <w:gridCol w:w="115"/>
        <w:gridCol w:w="109"/>
        <w:gridCol w:w="109"/>
        <w:gridCol w:w="109"/>
        <w:gridCol w:w="249"/>
        <w:gridCol w:w="514"/>
        <w:gridCol w:w="183"/>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Financing</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minimum lease payments</w:t>
            </w:r>
          </w:p>
        </w:tc>
        <w:tc>
          <w:tcPr>
            <w:tcW w:w="7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Imputed interest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liabilities as of January 31, 2025</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6.Rental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Rental product, net consisted of the following:</w:t>
      </w:r>
    </w:p>
    <w:tbl>
      <w:tblPr>
        <w:tblW w:w="5200" w:type="dxa"/>
        <w:jc w:val="left"/>
        <w:tblInd w:w="0" w:type="dxa"/>
        <w:tblLayout w:type="fixed"/>
        <w:tblCellMar>
          <w:top w:w="28" w:type="dxa"/>
          <w:left w:w="28" w:type="dxa"/>
          <w:bottom w:w="28" w:type="dxa"/>
          <w:right w:w="28" w:type="dxa"/>
        </w:tblCellMar>
      </w:tblPr>
      <w:tblGrid>
        <w:gridCol w:w="1019"/>
        <w:gridCol w:w="893"/>
        <w:gridCol w:w="907"/>
        <w:gridCol w:w="219"/>
        <w:gridCol w:w="672"/>
        <w:gridCol w:w="113"/>
        <w:gridCol w:w="109"/>
        <w:gridCol w:w="109"/>
        <w:gridCol w:w="109"/>
        <w:gridCol w:w="219"/>
        <w:gridCol w:w="671"/>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Rental product, net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Depreciation and write-offs related to rental product, including write-offs of rental products sold, was </w:t>
      </w:r>
      <w:r>
        <w:rPr>
          <w:rFonts w:ascii="Arial;sans-serif" w:hAnsi="Arial;sans-serif"/>
          <w:b w:val="false"/>
          <w:color w:val="000000"/>
          <w:sz w:val="20"/>
        </w:rPr>
        <w:t>$64.6 million</w:t>
      </w:r>
      <w:r>
        <w:rPr>
          <w:rFonts w:ascii="Arial;sans-serif" w:hAnsi="Arial;sans-serif"/>
          <w:b w:val="false"/>
          <w:color w:val="000000"/>
          <w:sz w:val="20"/>
          <w:shd w:fill="FFFFFF" w:val="clear"/>
        </w:rPr>
        <w:t>, $57.1 million, and $52.9 million for the years ended January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12"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7.Fixed and Intangible Assets,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Fixed and intangible assets, net consisted of the following:</w:t>
      </w:r>
    </w:p>
    <w:tbl>
      <w:tblPr>
        <w:tblW w:w="5216" w:type="dxa"/>
        <w:jc w:val="left"/>
        <w:tblInd w:w="0" w:type="dxa"/>
        <w:tblLayout w:type="fixed"/>
        <w:tblCellMar>
          <w:top w:w="28" w:type="dxa"/>
          <w:left w:w="28" w:type="dxa"/>
          <w:bottom w:w="28" w:type="dxa"/>
          <w:right w:w="28" w:type="dxa"/>
        </w:tblCellMar>
      </w:tblPr>
      <w:tblGrid>
        <w:gridCol w:w="1027"/>
        <w:gridCol w:w="902"/>
        <w:gridCol w:w="906"/>
        <w:gridCol w:w="246"/>
        <w:gridCol w:w="632"/>
        <w:gridCol w:w="127"/>
        <w:gridCol w:w="109"/>
        <w:gridCol w:w="109"/>
        <w:gridCol w:w="109"/>
        <w:gridCol w:w="244"/>
        <w:gridCol w:w="627"/>
        <w:gridCol w:w="178"/>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Reusable packaging</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hardware</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lease ROU assets</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Fixed assets, net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 assets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pPr>
      <w:r>
        <w:rPr>
          <w:rFonts w:ascii="Arial;sans-serif" w:hAnsi="Arial;sans-serif"/>
          <w:b w:val="false"/>
          <w:color w:val="000000"/>
          <w:sz w:val="20"/>
        </w:rPr>
        <w:t xml:space="preserve">Depreciation related to fixed assets was $10.3 million, $12.0 million, and $12.7 million for the </w:t>
      </w:r>
      <w:r>
        <w:rPr>
          <w:rFonts w:ascii="Arial;sans-serif" w:hAnsi="Arial;sans-serif"/>
          <w:b w:val="false"/>
          <w:color w:val="000000"/>
          <w:sz w:val="20"/>
          <w:shd w:fill="FFFFFF" w:val="clear"/>
        </w:rPr>
        <w:t>years</w:t>
      </w:r>
      <w:r>
        <w:rPr>
          <w:color w:val="000000"/>
        </w:rPr>
        <w:t xml:space="preserve"> </w:t>
      </w:r>
      <w:r>
        <w:rPr>
          <w:rFonts w:ascii="Arial;sans-serif" w:hAnsi="Arial;sans-serif"/>
          <w:b w:val="false"/>
          <w:color w:val="000000"/>
          <w:sz w:val="20"/>
        </w:rPr>
        <w:t xml:space="preserve">ended January 31, 2025, 2024, and </w:t>
      </w:r>
      <w:r>
        <w:rPr>
          <w:rFonts w:ascii="Arial;sans-serif" w:hAnsi="Arial;sans-serif"/>
          <w:b w:val="false"/>
          <w:color w:val="000000"/>
          <w:sz w:val="20"/>
          <w:shd w:fill="FFFFFF" w:val="clear"/>
        </w:rPr>
        <w:t>2023</w:t>
      </w:r>
      <w:r>
        <w:rPr>
          <w:rFonts w:ascii="Arial;sans-serif" w:hAnsi="Arial;sans-serif"/>
          <w:b w:val="false"/>
          <w:color w:val="000000"/>
          <w:sz w:val="20"/>
        </w:rPr>
        <w:t xml:space="preserve">, respectively. Amortization of intangible assets was $2.2 million, $2.7 million, and $3.7 million for the </w:t>
      </w:r>
      <w:r>
        <w:rPr>
          <w:rFonts w:ascii="Arial;sans-serif" w:hAnsi="Arial;sans-serif"/>
          <w:b w:val="false"/>
          <w:color w:val="000000"/>
          <w:sz w:val="20"/>
          <w:shd w:fill="FFFFFF" w:val="clear"/>
        </w:rPr>
        <w:t>years</w:t>
      </w:r>
      <w:r>
        <w:rPr>
          <w:color w:val="000000"/>
        </w:rPr>
        <w:t xml:space="preserve"> </w:t>
      </w:r>
      <w:r>
        <w:rPr>
          <w:rFonts w:ascii="Arial;sans-serif" w:hAnsi="Arial;sans-serif"/>
          <w:b w:val="false"/>
          <w:color w:val="000000"/>
          <w:sz w:val="20"/>
        </w:rPr>
        <w:t xml:space="preserve">ended January 31, 2025, 2024, and </w:t>
      </w:r>
      <w:r>
        <w:rPr>
          <w:rFonts w:ascii="Arial;sans-serif" w:hAnsi="Arial;sans-serif"/>
          <w:b w:val="false"/>
          <w:color w:val="000000"/>
          <w:sz w:val="20"/>
          <w:shd w:fill="FFFFFF" w:val="clear"/>
        </w:rPr>
        <w:t>2023</w:t>
      </w:r>
      <w:r>
        <w:rPr>
          <w:rFonts w:ascii="Arial;sans-serif" w:hAnsi="Arial;sans-serif"/>
          <w:b w:val="false"/>
          <w:color w:val="000000"/>
          <w:sz w:val="20"/>
        </w:rPr>
        <w:t>, respectively. See Note 5 — Leases – Lessee Accounting for further details related to the finance lease ROU assets included in Fixed assets, net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expected amortization of intangible assets (excluding software projects not yet deployed) is as follows:</w:t>
      </w:r>
    </w:p>
    <w:tbl>
      <w:tblPr>
        <w:tblW w:w="3035" w:type="dxa"/>
        <w:jc w:val="left"/>
        <w:tblInd w:w="0" w:type="dxa"/>
        <w:tblLayout w:type="fixed"/>
        <w:tblCellMar>
          <w:top w:w="28" w:type="dxa"/>
          <w:left w:w="28" w:type="dxa"/>
          <w:bottom w:w="28" w:type="dxa"/>
          <w:right w:w="28" w:type="dxa"/>
        </w:tblCellMar>
      </w:tblPr>
      <w:tblGrid>
        <w:gridCol w:w="850"/>
        <w:gridCol w:w="745"/>
        <w:gridCol w:w="639"/>
        <w:gridCol w:w="211"/>
        <w:gridCol w:w="436"/>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future amortization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13"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8.Long-Term Debt</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Summary</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following table summarizes the Company’s long-term debt outstanding as of January 31, 2025 and </w:t>
      </w:r>
      <w:r>
        <w:rPr>
          <w:rFonts w:ascii="Arial;sans-serif" w:hAnsi="Arial;sans-serif"/>
          <w:b w:val="false"/>
          <w:color w:val="000000"/>
          <w:sz w:val="20"/>
        </w:rPr>
        <w:t>2024</w:t>
      </w:r>
      <w:r>
        <w:rPr>
          <w:rFonts w:ascii="Arial;sans-serif" w:hAnsi="Arial;sans-serif"/>
          <w:b w:val="false"/>
          <w:color w:val="000000"/>
          <w:sz w:val="20"/>
          <w:shd w:fill="FFFFFF" w:val="clear"/>
        </w:rPr>
        <w:t>:</w:t>
      </w:r>
    </w:p>
    <w:tbl>
      <w:tblPr>
        <w:tblW w:w="6790" w:type="dxa"/>
        <w:jc w:val="left"/>
        <w:tblInd w:w="0" w:type="dxa"/>
        <w:tblLayout w:type="fixed"/>
        <w:tblCellMar>
          <w:top w:w="28" w:type="dxa"/>
          <w:left w:w="28" w:type="dxa"/>
          <w:bottom w:w="28" w:type="dxa"/>
          <w:right w:w="28" w:type="dxa"/>
        </w:tblCellMar>
      </w:tblPr>
      <w:tblGrid>
        <w:gridCol w:w="1598"/>
        <w:gridCol w:w="1402"/>
        <w:gridCol w:w="1409"/>
        <w:gridCol w:w="219"/>
        <w:gridCol w:w="672"/>
        <w:gridCol w:w="113"/>
        <w:gridCol w:w="109"/>
        <w:gridCol w:w="109"/>
        <w:gridCol w:w="109"/>
        <w:gridCol w:w="219"/>
        <w:gridCol w:w="671"/>
        <w:gridCol w:w="160"/>
      </w:tblGrid>
      <w:tr>
        <w:trPr/>
        <w:tc>
          <w:tcPr>
            <w:tcW w:w="15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Debt Facility principal outstanding</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 payment-in-kind interest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 (Less): unamortized debt premium (discount)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Debt Facility, net</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noncurrent long-term debt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Debt Facility</w:t>
      </w:r>
    </w:p>
    <w:p>
      <w:pPr>
        <w:pStyle w:val="TextBody"/>
        <w:bidi w:val="0"/>
        <w:spacing w:lineRule="auto" w:line="268" w:before="120" w:after="283"/>
        <w:jc w:val="left"/>
        <w:rPr/>
      </w:pPr>
      <w:r>
        <w:rPr>
          <w:rFonts w:ascii="Arial;sans-serif" w:hAnsi="Arial;sans-serif"/>
          <w:b w:val="false"/>
          <w:color w:val="000000"/>
          <w:sz w:val="20"/>
        </w:rPr>
        <w:t xml:space="preserve">In January 2023, the Company entered into an amendment to the 2021 Amended Temasek Facility (the “2022 Temasek Facility Amendment”). </w:t>
      </w:r>
      <w:r>
        <w:rPr>
          <w:rFonts w:ascii="Arial;sans-serif" w:hAnsi="Arial;sans-serif"/>
          <w:b w:val="false"/>
          <w:color w:val="000000"/>
          <w:sz w:val="20"/>
          <w:shd w:fill="FFFFFF" w:val="clear"/>
        </w:rPr>
        <w:t xml:space="preserve">The 2021 Amended Temasek Facility as further amended by the 2022 Temasek Facility Amendment is referred to as the “2022 Amended Temasek Facility”. </w:t>
      </w:r>
      <w:r>
        <w:rPr>
          <w:rFonts w:ascii="Arial;sans-serif" w:hAnsi="Arial;sans-serif"/>
          <w:b w:val="false"/>
          <w:color w:val="000000"/>
          <w:sz w:val="20"/>
        </w:rPr>
        <w:t>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In December 2023, the Company entered into an amendment to the 2022 Amended Temasek Facility (the “</w:t>
      </w:r>
      <w:r>
        <w:rPr>
          <w:rFonts w:ascii="Arial;sans-serif" w:hAnsi="Arial;sans-serif"/>
          <w:b w:val="false"/>
          <w:color w:val="000000"/>
          <w:sz w:val="20"/>
          <w:shd w:fill="FFFFFF" w:val="clear"/>
        </w:rPr>
        <w:t>2023 Amended Temasek Facility</w:t>
      </w:r>
      <w:r>
        <w:rPr>
          <w:color w:val="000000"/>
        </w:rPr>
        <w:t>”</w:t>
      </w:r>
      <w:r>
        <w:rPr>
          <w:rFonts w:ascii="Arial;sans-serif" w:hAnsi="Arial;sans-serif"/>
          <w:b w:val="false"/>
          <w:color w:val="000000"/>
          <w:sz w:val="20"/>
        </w:rPr>
        <w:t>). This transaction was accounted for as a troubled debt restructuring. The terms of the amendment provide for, (i) elimination of all interest (both payment-in-kind and cash interest) for a period of six full fiscal quarters beginning with the fourth quarter of fiscal year 2023; (ii) reduction of the minimum liquidity maintenance covenant under the 2023 Amended Temasek Facility from $50 million to $30 million; and (iii) additional covenants requiring the Company to comply with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Company did not record a gain in connection with the restructuring as the total undiscounted future cash payments specified in the 2023 Temasek Facility Amendment exceeded the carrying value of debt. The effective interest rate for the 2023 Amended Temasek Facility as of January 31, 2024 was 8.44%. The Company amortizes the debt discount or premium using the effective interest method over the remaining term of the facility including the six full fiscal quarters during which payment-in-kind and cash interest were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14"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In March 2025, the Company entered </w:t>
      </w:r>
      <w:r>
        <w:rPr>
          <w:rFonts w:ascii="Arial;sans-serif" w:hAnsi="Arial;sans-serif"/>
          <w:b w:val="false"/>
          <w:color w:val="000000"/>
          <w:sz w:val="20"/>
        </w:rPr>
        <w:t>into an amendment to the 2023 Amended Temasek Facility (the “2025 Amended Facility”). The 2025 Amended Facility amended the 2023 Amended Temasek Facility to extend the deadline to mutually agree upon the Company’s fiscal year 2025 expenditure levels – covering rental product capital expenditures, fixed operating expenditures and marketing expenditures – from March 31, 2025 to May 30,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determined that all of the embedded features of the Temasek Facility, 2021 Amended Temasek Facility, 2022 Amended Temasek Facility, 2023 Amended Temasek Facility, and 2025 Amended Facility were clearly and closely related to the debt host and did not require bifurcation as a derivative liability, or the fair value of the feature was immaterial to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January 2025, CHS (US) Management LLC replaced Double Helix Pte Ltd. as administrative agent for Temasek Holdings.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Covenants</w:t>
      </w:r>
    </w:p>
    <w:p>
      <w:pPr>
        <w:pStyle w:val="TextBody"/>
        <w:bidi w:val="0"/>
        <w:spacing w:lineRule="auto" w:line="288" w:before="120" w:after="283"/>
        <w:jc w:val="left"/>
        <w:rPr/>
      </w:pPr>
      <w:r>
        <w:rPr>
          <w:rFonts w:ascii="Arial;sans-serif" w:hAnsi="Arial;sans-serif"/>
          <w:b w:val="false"/>
          <w:color w:val="000000"/>
          <w:sz w:val="20"/>
          <w:shd w:fill="FFFFFF" w:val="clear"/>
        </w:rPr>
        <w:t>The Company w</w:t>
      </w:r>
      <w:r>
        <w:rPr>
          <w:rFonts w:ascii="Arial;sans-serif" w:hAnsi="Arial;sans-serif"/>
          <w:b w:val="false"/>
          <w:color w:val="000000"/>
          <w:sz w:val="20"/>
        </w:rPr>
        <w:t>as in compliance with a</w:t>
      </w:r>
      <w:r>
        <w:rPr>
          <w:rFonts w:ascii="Arial;sans-serif" w:hAnsi="Arial;sans-serif"/>
          <w:b w:val="false"/>
          <w:color w:val="000000"/>
          <w:sz w:val="20"/>
          <w:shd w:fill="FFFFFF" w:val="clear"/>
        </w:rPr>
        <w:t>ll applicable financial covenants as of January 31, 2025 and through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15"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9.Income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net loss before income tax benefit / (expense) from income taxes includes the following components:</w:t>
      </w:r>
    </w:p>
    <w:p>
      <w:pPr>
        <w:pStyle w:val="TextBody"/>
        <w:bidi w:val="0"/>
        <w:spacing w:before="0" w:after="0"/>
        <w:jc w:val="left"/>
        <w:rPr/>
      </w:pPr>
      <w:r>
        <w:rPr/>
      </w:r>
    </w:p>
    <w:tbl>
      <w:tblPr>
        <w:tblW w:w="7812" w:type="dxa"/>
        <w:jc w:val="left"/>
        <w:tblInd w:w="0" w:type="dxa"/>
        <w:tblLayout w:type="fixed"/>
        <w:tblCellMar>
          <w:top w:w="28" w:type="dxa"/>
          <w:left w:w="28" w:type="dxa"/>
          <w:bottom w:w="28" w:type="dxa"/>
          <w:right w:w="28" w:type="dxa"/>
        </w:tblCellMar>
      </w:tblPr>
      <w:tblGrid>
        <w:gridCol w:w="1497"/>
        <w:gridCol w:w="1317"/>
        <w:gridCol w:w="1326"/>
        <w:gridCol w:w="211"/>
        <w:gridCol w:w="601"/>
        <w:gridCol w:w="109"/>
        <w:gridCol w:w="109"/>
        <w:gridCol w:w="109"/>
        <w:gridCol w:w="109"/>
        <w:gridCol w:w="211"/>
        <w:gridCol w:w="706"/>
        <w:gridCol w:w="109"/>
        <w:gridCol w:w="109"/>
        <w:gridCol w:w="109"/>
        <w:gridCol w:w="109"/>
        <w:gridCol w:w="211"/>
        <w:gridCol w:w="70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January 31, </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income taxes allocated to operations are as follows:</w:t>
      </w:r>
    </w:p>
    <w:p>
      <w:pPr>
        <w:pStyle w:val="TextBody"/>
        <w:bidi w:val="0"/>
        <w:spacing w:before="0" w:after="0"/>
        <w:jc w:val="left"/>
        <w:rPr/>
      </w:pPr>
      <w:r>
        <w:rPr/>
      </w:r>
    </w:p>
    <w:tbl>
      <w:tblPr>
        <w:tblW w:w="6342" w:type="dxa"/>
        <w:jc w:val="left"/>
        <w:tblInd w:w="0" w:type="dxa"/>
        <w:tblLayout w:type="fixed"/>
        <w:tblCellMar>
          <w:top w:w="28" w:type="dxa"/>
          <w:left w:w="28" w:type="dxa"/>
          <w:bottom w:w="28" w:type="dxa"/>
          <w:right w:w="28" w:type="dxa"/>
        </w:tblCellMar>
      </w:tblPr>
      <w:tblGrid>
        <w:gridCol w:w="1179"/>
        <w:gridCol w:w="1036"/>
        <w:gridCol w:w="1040"/>
        <w:gridCol w:w="211"/>
        <w:gridCol w:w="496"/>
        <w:gridCol w:w="109"/>
        <w:gridCol w:w="109"/>
        <w:gridCol w:w="109"/>
        <w:gridCol w:w="109"/>
        <w:gridCol w:w="211"/>
        <w:gridCol w:w="496"/>
        <w:gridCol w:w="109"/>
        <w:gridCol w:w="109"/>
        <w:gridCol w:w="109"/>
        <w:gridCol w:w="109"/>
        <w:gridCol w:w="211"/>
        <w:gridCol w:w="43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 provision:</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State and local</w:t>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provision</w:t>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provision:</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provision</w:t>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benefit /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16"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significant components of the Company’s net deferred tax assets (liabilities) are as follows: </w:t>
      </w:r>
    </w:p>
    <w:p>
      <w:pPr>
        <w:pStyle w:val="TextBody"/>
        <w:bidi w:val="0"/>
        <w:spacing w:before="0" w:after="0"/>
        <w:jc w:val="left"/>
        <w:rPr/>
      </w:pPr>
      <w:r>
        <w:rPr/>
      </w:r>
    </w:p>
    <w:tbl>
      <w:tblPr>
        <w:tblW w:w="6866" w:type="dxa"/>
        <w:jc w:val="left"/>
        <w:tblInd w:w="0" w:type="dxa"/>
        <w:tblLayout w:type="fixed"/>
        <w:tblCellMar>
          <w:top w:w="28" w:type="dxa"/>
          <w:left w:w="28" w:type="dxa"/>
          <w:bottom w:w="28" w:type="dxa"/>
          <w:right w:w="28" w:type="dxa"/>
        </w:tblCellMar>
      </w:tblPr>
      <w:tblGrid>
        <w:gridCol w:w="1635"/>
        <w:gridCol w:w="1434"/>
        <w:gridCol w:w="1446"/>
        <w:gridCol w:w="215"/>
        <w:gridCol w:w="660"/>
        <w:gridCol w:w="111"/>
        <w:gridCol w:w="111"/>
        <w:gridCol w:w="111"/>
        <w:gridCol w:w="111"/>
        <w:gridCol w:w="215"/>
        <w:gridCol w:w="660"/>
        <w:gridCol w:w="157"/>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tax assets:</w:t>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Federal and state net operating loss carryforwards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Customer credit liabilities</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limitation </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assets</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R&amp;D expenses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Share-based compensation </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lease liabilities </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Deferred tax liabilities: </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deferred tax liabilities </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 before valuation allowance</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Provisions enacted in the Tax Reform Act in December 2017 related to the capitalization of research and experimental expenditures became effective on January 1, 2022. These provisions require us to capitalize research and experimental expenditures and amortize them for tax purposes over five or fifteen years, depending on where the research is conducted. The capitalized expenses do not significantly impact our effective tax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and 2024, the Company maintained a valuation allowance against all of its U.S. deferred tax assets since, in the judgment of management, the realization of these assets was not considered more likely than not. The net change in the total valuation allowance for the years ended January 31, 2025 and 2024 was an increase of $13.5 million and $23.7 million, respectively. The Company’s deferred tax assets are included in Other assets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the Company had federal net operating loss tax carryforwards of approximately $654.4 million. Approximately $152.0 million of the net operating loss carryforwards will expire at various times through 2038, while $502.4 million will not expire.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17"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general, under Section 382 of the Internal Revenue Code of 1986, as amended (the “Code”), a corporation that undergoes an “ownership change” is subject to limitations on its ability to utilize its net operating losses (“NOLs”) to offset future taxable income. The Company had determined that as of March 2021, it had undergone one ownership change on February 16, 2010, and its NOLs arising before that date were subject to Section 382 limitations. These limitations did not materially limit the use of such NOLs to offset the Company’s future taxable income. In fiscal year 2024, the Company completed an update to the prior Section 382 analysis covering the period beginning April 2021 through January 2025. From the study, the Company concluded it did not experience an ownership change during the analysis period. Any ownership change occurring after January 2025 may result in the imposition of additional limitations on the Company’s ability to utilize NOLs existing at the time of the ownership change.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benefit for income taxes differs from the amount computed by applying the statutory U.S. Federal income tax rate to pretax loss because of the effect of the following items: </w:t>
      </w:r>
    </w:p>
    <w:p>
      <w:pPr>
        <w:pStyle w:val="TextBody"/>
        <w:bidi w:val="0"/>
        <w:spacing w:before="0" w:after="0"/>
        <w:jc w:val="left"/>
        <w:rPr/>
      </w:pPr>
      <w:r>
        <w:rPr/>
      </w:r>
    </w:p>
    <w:tbl>
      <w:tblPr>
        <w:tblW w:w="7673" w:type="dxa"/>
        <w:jc w:val="left"/>
        <w:tblInd w:w="0" w:type="dxa"/>
        <w:tblLayout w:type="fixed"/>
        <w:tblCellMar>
          <w:top w:w="28" w:type="dxa"/>
          <w:left w:w="28" w:type="dxa"/>
          <w:bottom w:w="28" w:type="dxa"/>
          <w:right w:w="28" w:type="dxa"/>
        </w:tblCellMar>
      </w:tblPr>
      <w:tblGrid>
        <w:gridCol w:w="1411"/>
        <w:gridCol w:w="1242"/>
        <w:gridCol w:w="1246"/>
        <w:gridCol w:w="353"/>
        <w:gridCol w:w="353"/>
        <w:gridCol w:w="304"/>
        <w:gridCol w:w="116"/>
        <w:gridCol w:w="116"/>
        <w:gridCol w:w="116"/>
        <w:gridCol w:w="353"/>
        <w:gridCol w:w="353"/>
        <w:gridCol w:w="304"/>
        <w:gridCol w:w="116"/>
        <w:gridCol w:w="116"/>
        <w:gridCol w:w="116"/>
        <w:gridCol w:w="353"/>
        <w:gridCol w:w="353"/>
        <w:gridCol w:w="352"/>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 “expected” tax benefit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benefit</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of warrants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transaction costs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compensation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year change in valuation allowance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not recognized deferred tax liabilities for outside basis differences (including undistributed earnings) relating to the Company’s foreign subsidiary because such amounts have been indefinitely reinvested. The Company has determined that it is impracticable to estimate the unrecorded deferred tax liability associated with the foreign subsidiary for which the Company is asserting indefinite reinvestment.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18"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unrecognized tax benefit activity for the periods indicated: </w:t>
      </w:r>
    </w:p>
    <w:p>
      <w:pPr>
        <w:pStyle w:val="TextBody"/>
        <w:bidi w:val="0"/>
        <w:spacing w:before="0" w:after="0"/>
        <w:jc w:val="left"/>
        <w:rPr/>
      </w:pPr>
      <w:r>
        <w:rPr/>
      </w:r>
    </w:p>
    <w:tbl>
      <w:tblPr>
        <w:tblW w:w="8277" w:type="dxa"/>
        <w:jc w:val="left"/>
        <w:tblInd w:w="0" w:type="dxa"/>
        <w:tblLayout w:type="fixed"/>
        <w:tblCellMar>
          <w:top w:w="28" w:type="dxa"/>
          <w:left w:w="28" w:type="dxa"/>
          <w:bottom w:w="28" w:type="dxa"/>
          <w:right w:w="28" w:type="dxa"/>
        </w:tblCellMar>
      </w:tblPr>
      <w:tblGrid>
        <w:gridCol w:w="1920"/>
        <w:gridCol w:w="1689"/>
        <w:gridCol w:w="1701"/>
        <w:gridCol w:w="211"/>
        <w:gridCol w:w="436"/>
        <w:gridCol w:w="109"/>
        <w:gridCol w:w="109"/>
        <w:gridCol w:w="109"/>
        <w:gridCol w:w="109"/>
        <w:gridCol w:w="211"/>
        <w:gridCol w:w="436"/>
        <w:gridCol w:w="109"/>
        <w:gridCol w:w="109"/>
        <w:gridCol w:w="109"/>
        <w:gridCol w:w="109"/>
        <w:gridCol w:w="211"/>
        <w:gridCol w:w="436"/>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Balance as of the beginning of the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Additions based on tax positions related to the current year </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of prior years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Reductions for tax positions of prior years </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Lapse of statute of limitations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amount of unrecognized tax benefits included on the Consolidated Balance Sheets as of January 31, 2025 and 2024 are $1.2 million and $1.2 million,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 subject to United States federal and state taxation, as well as subject to taxation in Ireland. The Company may be subject to examination by the Internal Revenue Service (“IRS”) and as of January 31, 2025, tax year 2021 and years filed thereafter remain open to examination. These examinations may result in proposed adjustments to the Company’s income tax liability or tax attributes with respect to years under examination as well as subsequent periods.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 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16, 2022, Congress passed the Inflation Reduction Act of 2022. The key tax provisions applicable to the Company are a 15% corporate minimum tax on book income and a 1% excise tax on stock repurchases effective January 1, 2023. These tax law changes have not had and are not expected to have a material impact on the Company’s consolidated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19"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pPr>
      <w:r>
        <w:rPr>
          <w:rFonts w:ascii="Arial;sans-serif" w:hAnsi="Arial;sans-serif"/>
          <w:b/>
          <w:color w:val="000000"/>
          <w:sz w:val="20"/>
          <w:shd w:fill="FFFFFF" w:val="clear"/>
        </w:rPr>
        <w:t>10.</w:t>
      </w:r>
      <w:r>
        <w:rPr>
          <w:rFonts w:ascii="Arial;sans-serif" w:hAnsi="Arial;sans-serif"/>
          <w:b/>
          <w:color w:val="000000"/>
          <w:sz w:val="20"/>
        </w:rPr>
        <w:t>Accrued Expenses and Other Current Lia</w:t>
      </w:r>
      <w:r>
        <w:rPr>
          <w:rFonts w:ascii="Arial;sans-serif" w:hAnsi="Arial;sans-serif"/>
          <w:b/>
          <w:color w:val="000000"/>
          <w:sz w:val="20"/>
          <w:shd w:fill="FFFFFF" w:val="clear"/>
        </w:rPr>
        <w:t>bilities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Accrued expenses and other current liabilities consisted of the following:</w:t>
      </w:r>
    </w:p>
    <w:tbl>
      <w:tblPr>
        <w:tblW w:w="6644" w:type="dxa"/>
        <w:jc w:val="left"/>
        <w:tblInd w:w="0" w:type="dxa"/>
        <w:tblLayout w:type="fixed"/>
        <w:tblCellMar>
          <w:top w:w="28" w:type="dxa"/>
          <w:left w:w="28" w:type="dxa"/>
          <w:bottom w:w="28" w:type="dxa"/>
          <w:right w:w="28" w:type="dxa"/>
        </w:tblCellMar>
      </w:tblPr>
      <w:tblGrid>
        <w:gridCol w:w="1478"/>
        <w:gridCol w:w="1294"/>
        <w:gridCol w:w="1307"/>
        <w:gridCol w:w="246"/>
        <w:gridCol w:w="632"/>
        <w:gridCol w:w="127"/>
        <w:gridCol w:w="109"/>
        <w:gridCol w:w="109"/>
        <w:gridCol w:w="109"/>
        <w:gridCol w:w="109"/>
        <w:gridCol w:w="109"/>
        <w:gridCol w:w="109"/>
        <w:gridCol w:w="211"/>
        <w:gridCol w:w="541"/>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Revenue share payable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operating and general expenses</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payroll related expenses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financing</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Sales and other taxes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Gift card liability</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pPr>
      <w:r>
        <w:rPr>
          <w:rFonts w:ascii="Arial;sans-serif" w:hAnsi="Arial;sans-serif"/>
          <w:b w:val="false"/>
          <w:color w:val="000000"/>
          <w:sz w:val="20"/>
        </w:rPr>
        <w:t xml:space="preserve">The borrowing rate for the short-term financing obligation was 5.50% and 8.80% as of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11.Fair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of January 31, 2025 and </w:t>
      </w:r>
      <w:r>
        <w:rPr>
          <w:rFonts w:ascii="Arial;sans-serif" w:hAnsi="Arial;sans-serif"/>
          <w:b w:val="false"/>
          <w:color w:val="000000"/>
          <w:sz w:val="20"/>
        </w:rPr>
        <w:t>2024</w:t>
      </w:r>
      <w:r>
        <w:rPr>
          <w:rFonts w:ascii="Arial;sans-serif" w:hAnsi="Arial;sans-serif"/>
          <w:b w:val="false"/>
          <w:color w:val="000000"/>
          <w:sz w:val="20"/>
          <w:shd w:fill="FFFFFF" w:val="clear"/>
        </w:rPr>
        <w:t xml:space="preserve">,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The Company’s long-term debt is reported at carrying value on the Consolidated Balance Sheets. Refer to Note 8 – Long-Term Debt. The Company estimates the fair value of its long-term debt using a discounted cash flow approach based on the Company’s implied credit spread using t</w:t>
      </w:r>
      <w:r>
        <w:rPr>
          <w:rFonts w:ascii="Arial;sans-serif" w:hAnsi="Arial;sans-serif"/>
          <w:b w:val="false"/>
          <w:color w:val="000000"/>
          <w:sz w:val="20"/>
        </w:rPr>
        <w:t xml:space="preserve">he higher end of the </w:t>
      </w:r>
      <w:r>
        <w:rPr>
          <w:rFonts w:ascii="Arial;sans-serif" w:hAnsi="Arial;sans-serif"/>
          <w:b w:val="false"/>
          <w:color w:val="000000"/>
          <w:sz w:val="20"/>
          <w:shd w:fill="FFFFFF" w:val="clear"/>
        </w:rPr>
        <w:t xml:space="preserve">distribution for option adjusted spreads for similar financial instruments with similar credit ratings, and, as such, long-term debt is classified as Level 3 within the fair value hierarchy. As of January 31, 2025, the estimated fair value of the Company’s long-term debt was </w:t>
      </w:r>
      <w:r>
        <w:rPr>
          <w:rFonts w:ascii="Arial;sans-serif" w:hAnsi="Arial;sans-serif"/>
          <w:b w:val="false"/>
          <w:color w:val="000000"/>
          <w:sz w:val="20"/>
        </w:rPr>
        <w:t>$301.8</w:t>
      </w:r>
      <w:r>
        <w:rPr>
          <w:color w:val="000000"/>
          <w:shd w:fill="FFFFFF" w:val="clear"/>
        </w:rPr>
        <w:t xml:space="preserve"> </w:t>
      </w:r>
      <w:r>
        <w:rPr>
          <w:rFonts w:ascii="Arial;sans-serif" w:hAnsi="Arial;sans-serif"/>
          <w:b w:val="false"/>
          <w:color w:val="000000"/>
          <w:sz w:val="20"/>
          <w:shd w:fill="FFFFFF" w:val="clear"/>
        </w:rPr>
        <w:t>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20"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12.Stockholders’ Equity</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Reverse Stock Split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par value per share of Class A common stock and Class B common stock remained at $0.001. The Company filed an Amendment to the Twelfth Amended and Restated Certificate of Incorporation with the Secretary of State of the State of Delaware on April 2, 2024 to implement the 1-for-20 Reverse Stock Split. All per share amounts and common shares amounts have been adjusted on a retroactive basis to reflect the Reverse Stock Split for all periods.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Common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Preferred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Upon the IPO, the Company authorized 10,000,000 shares of preferred stock, with a par value of $0.001 per share. No shares were issued or outstanding as of January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21"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Warrants</w:t>
      </w:r>
    </w:p>
    <w:p>
      <w:pPr>
        <w:pStyle w:val="TextBody"/>
        <w:bidi w:val="0"/>
        <w:spacing w:lineRule="auto" w:line="288" w:before="120" w:after="283"/>
        <w:jc w:val="left"/>
        <w:rPr/>
      </w:pPr>
      <w:r>
        <w:rPr>
          <w:rFonts w:ascii="Arial;sans-serif" w:hAnsi="Arial;sans-serif"/>
          <w:b w:val="false"/>
          <w:color w:val="000000"/>
          <w:sz w:val="20"/>
          <w:shd w:fill="FFFFFF" w:val="clear"/>
        </w:rPr>
        <w:t xml:space="preserve">As of January 31, 2025 and </w:t>
      </w:r>
      <w:r>
        <w:rPr>
          <w:rFonts w:ascii="Arial;sans-serif" w:hAnsi="Arial;sans-serif"/>
          <w:b w:val="false"/>
          <w:color w:val="000000"/>
          <w:sz w:val="20"/>
        </w:rPr>
        <w:t>2024</w:t>
      </w:r>
      <w:r>
        <w:rPr>
          <w:rFonts w:ascii="Arial;sans-serif" w:hAnsi="Arial;sans-serif"/>
          <w:b w:val="false"/>
          <w:color w:val="000000"/>
          <w:sz w:val="20"/>
          <w:shd w:fill="FFFFFF" w:val="clear"/>
        </w:rPr>
        <w:t>, the Company had the following outstanding warr</w:t>
      </w:r>
      <w:r>
        <w:rPr>
          <w:rFonts w:ascii="Arial;sans-serif" w:hAnsi="Arial;sans-serif"/>
          <w:b w:val="false"/>
          <w:color w:val="000000"/>
          <w:sz w:val="20"/>
        </w:rPr>
        <w:t>ants, adjusted on a retroactive basis to reflect the Reverse Stock Split as discussed above:</w:t>
      </w:r>
    </w:p>
    <w:tbl>
      <w:tblPr>
        <w:tblW w:w="8916" w:type="dxa"/>
        <w:jc w:val="left"/>
        <w:tblInd w:w="0" w:type="dxa"/>
        <w:tblLayout w:type="fixed"/>
        <w:tblCellMar>
          <w:top w:w="28" w:type="dxa"/>
          <w:left w:w="28" w:type="dxa"/>
          <w:bottom w:w="28" w:type="dxa"/>
          <w:right w:w="28" w:type="dxa"/>
        </w:tblCellMar>
      </w:tblPr>
      <w:tblGrid>
        <w:gridCol w:w="799"/>
        <w:gridCol w:w="701"/>
        <w:gridCol w:w="705"/>
        <w:gridCol w:w="239"/>
        <w:gridCol w:w="239"/>
        <w:gridCol w:w="241"/>
        <w:gridCol w:w="109"/>
        <w:gridCol w:w="109"/>
        <w:gridCol w:w="109"/>
        <w:gridCol w:w="427"/>
        <w:gridCol w:w="429"/>
        <w:gridCol w:w="316"/>
        <w:gridCol w:w="109"/>
        <w:gridCol w:w="109"/>
        <w:gridCol w:w="109"/>
        <w:gridCol w:w="294"/>
        <w:gridCol w:w="294"/>
        <w:gridCol w:w="298"/>
        <w:gridCol w:w="109"/>
        <w:gridCol w:w="109"/>
        <w:gridCol w:w="109"/>
        <w:gridCol w:w="310"/>
        <w:gridCol w:w="1105"/>
        <w:gridCol w:w="160"/>
        <w:gridCol w:w="109"/>
        <w:gridCol w:w="109"/>
        <w:gridCol w:w="109"/>
        <w:gridCol w:w="244"/>
        <w:gridCol w:w="627"/>
        <w:gridCol w:w="180"/>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Warrants</w:t>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Date</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br/>
              <w:t>at Issuance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Equity classified:</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Apr-18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As of January 31, 2025 and </w:t>
      </w:r>
      <w:r>
        <w:rPr>
          <w:rFonts w:ascii="Arial;sans-serif" w:hAnsi="Arial;sans-serif"/>
          <w:b w:val="false"/>
          <w:color w:val="000000"/>
          <w:sz w:val="20"/>
        </w:rPr>
        <w:t>2024</w:t>
      </w:r>
      <w:r>
        <w:rPr>
          <w:rFonts w:ascii="Arial;sans-serif" w:hAnsi="Arial;sans-serif"/>
          <w:b w:val="false"/>
          <w:color w:val="000000"/>
          <w:sz w:val="20"/>
          <w:shd w:fill="FFFFFF" w:val="clear"/>
        </w:rPr>
        <w:t xml:space="preserve">, all outstanding warrants were equity-classified and recorded as additional paid-in capital. Equity-classified contracts are not subsequently remeasured unless reclassification is required from equity to liability classification.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13.Share-based Compensation Plans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2009 Stock Incentive Plan and 2019 Stock Incentive Plan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22"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Amended and Restated 2021 Incentive Award Plan</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years ended January 31, 2025 and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have a shorter vesting period of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two years</w:t>
      </w:r>
      <w:r>
        <w:rPr>
          <w:rFonts w:ascii="Arial;sans-serif" w:hAnsi="Arial;sans-serif"/>
          <w:b w:val="false"/>
          <w:color w:val="000000"/>
          <w:sz w:val="20"/>
          <w:shd w:fill="FFFFFF" w:val="clear"/>
        </w:rPr>
        <w:t xml:space="preserve">. As of January 31, 2025, there were </w:t>
      </w:r>
      <w:r>
        <w:rPr>
          <w:rFonts w:ascii="Arial;sans-serif" w:hAnsi="Arial;sans-serif"/>
          <w:b w:val="false"/>
          <w:color w:val="000000"/>
          <w:sz w:val="20"/>
        </w:rPr>
        <w:t>387,783 sh</w:t>
      </w:r>
      <w:r>
        <w:rPr>
          <w:rFonts w:ascii="Arial;sans-serif" w:hAnsi="Arial;sans-serif"/>
          <w:b w:val="false"/>
          <w:color w:val="000000"/>
          <w:sz w:val="20"/>
          <w:shd w:fill="FFFFFF" w:val="clear"/>
        </w:rPr>
        <w:t>ares of Class A common stock available for issuance under the 2021 Plan. There will not be any further equity grants of Class B common stock.</w:t>
      </w:r>
    </w:p>
    <w:p>
      <w:pPr>
        <w:pStyle w:val="TextBody"/>
        <w:bidi w:val="0"/>
        <w:spacing w:lineRule="auto" w:line="288" w:before="240" w:after="283"/>
        <w:jc w:val="left"/>
        <w:rPr/>
      </w:pPr>
      <w:r>
        <w:rPr>
          <w:rFonts w:ascii="Arial;sans-serif" w:hAnsi="Arial;sans-serif"/>
          <w:b w:val="false"/>
          <w:color w:val="000000"/>
          <w:sz w:val="20"/>
        </w:rPr>
        <w:t xml:space="preserve">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the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years ended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2024, and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Stock Options</w:t>
      </w:r>
    </w:p>
    <w:p>
      <w:pPr>
        <w:pStyle w:val="TextBody"/>
        <w:bidi w:val="0"/>
        <w:spacing w:lineRule="auto" w:line="288" w:before="120" w:after="283"/>
        <w:jc w:val="left"/>
        <w:rPr/>
      </w:pPr>
      <w:r>
        <w:rPr>
          <w:rFonts w:ascii="Arial;sans-serif" w:hAnsi="Arial;sans-serif"/>
          <w:b w:val="false"/>
          <w:color w:val="000000"/>
          <w:sz w:val="20"/>
          <w:shd w:fill="FFFFFF" w:val="clear"/>
        </w:rPr>
        <w:t>Stock option activity during the period indicated is as foll</w:t>
      </w:r>
      <w:r>
        <w:rPr>
          <w:rFonts w:ascii="Arial;sans-serif" w:hAnsi="Arial;sans-serif"/>
          <w:b w:val="false"/>
          <w:color w:val="000000"/>
          <w:sz w:val="20"/>
        </w:rPr>
        <w:t>ows:</w:t>
      </w:r>
    </w:p>
    <w:tbl>
      <w:tblPr>
        <w:tblW w:w="8251" w:type="dxa"/>
        <w:jc w:val="left"/>
        <w:tblInd w:w="0" w:type="dxa"/>
        <w:tblLayout w:type="fixed"/>
        <w:tblCellMar>
          <w:top w:w="28" w:type="dxa"/>
          <w:left w:w="28" w:type="dxa"/>
          <w:bottom w:w="28" w:type="dxa"/>
          <w:right w:w="28" w:type="dxa"/>
        </w:tblCellMar>
      </w:tblPr>
      <w:tblGrid>
        <w:gridCol w:w="1156"/>
        <w:gridCol w:w="1018"/>
        <w:gridCol w:w="1021"/>
        <w:gridCol w:w="375"/>
        <w:gridCol w:w="376"/>
        <w:gridCol w:w="316"/>
        <w:gridCol w:w="109"/>
        <w:gridCol w:w="109"/>
        <w:gridCol w:w="109"/>
        <w:gridCol w:w="211"/>
        <w:gridCol w:w="751"/>
        <w:gridCol w:w="109"/>
        <w:gridCol w:w="109"/>
        <w:gridCol w:w="109"/>
        <w:gridCol w:w="109"/>
        <w:gridCol w:w="320"/>
        <w:gridCol w:w="320"/>
        <w:gridCol w:w="321"/>
        <w:gridCol w:w="109"/>
        <w:gridCol w:w="109"/>
        <w:gridCol w:w="109"/>
        <w:gridCol w:w="267"/>
        <w:gridCol w:w="513"/>
        <w:gridCol w:w="196"/>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January 31,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January 31,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Exercisable as of January 31, 2025</w:t>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32,941 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There were no options exercised during the year ended January 31, 2024. The total intrinsic value of stock options exercised for the year ended January 31, 2023 was nominal.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2025, there was $0.1 million of unrecognized compensation cost related to stock options granted that is expected to be recognized over a weighted average period of 0.68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 Stock options relating to 331,370 shares of Class A and Class B common stock were forfeited in exchange for 132,546 RSUs which generally vest over two years. The Company will recognize $0.8 million of incremental stock compensation expense from the RSUs granted as a result of the option exchange which will be recognized over the two year vesting period.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23"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The Company currently uses authorized and unissued shares to satisfy the exercise of stock option awards.</w:t>
      </w:r>
      <w:r>
        <w:rPr>
          <w:color w:val="000000"/>
        </w:rPr>
        <w:t xml:space="preserve">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RSUs</w:t>
      </w:r>
    </w:p>
    <w:p>
      <w:pPr>
        <w:pStyle w:val="TextBody"/>
        <w:bidi w:val="0"/>
        <w:spacing w:lineRule="auto" w:line="288" w:before="120" w:after="283"/>
        <w:jc w:val="left"/>
        <w:rPr/>
      </w:pPr>
      <w:r>
        <w:rPr>
          <w:rFonts w:ascii="Arial;sans-serif" w:hAnsi="Arial;sans-serif"/>
          <w:b w:val="false"/>
          <w:color w:val="000000"/>
          <w:sz w:val="20"/>
          <w:shd w:fill="FFFFFF" w:val="clear"/>
        </w:rPr>
        <w:t>RSUs activity during the period indicated is as fol</w:t>
      </w:r>
      <w:r>
        <w:rPr>
          <w:rFonts w:ascii="Arial;sans-serif" w:hAnsi="Arial;sans-serif"/>
          <w:b w:val="false"/>
          <w:color w:val="000000"/>
          <w:sz w:val="20"/>
        </w:rPr>
        <w:t>lows:</w:t>
      </w:r>
    </w:p>
    <w:tbl>
      <w:tblPr>
        <w:tblW w:w="7019" w:type="dxa"/>
        <w:jc w:val="left"/>
        <w:tblInd w:w="0" w:type="dxa"/>
        <w:tblLayout w:type="fixed"/>
        <w:tblCellMar>
          <w:top w:w="28" w:type="dxa"/>
          <w:left w:w="28" w:type="dxa"/>
          <w:bottom w:w="28" w:type="dxa"/>
          <w:right w:w="28" w:type="dxa"/>
        </w:tblCellMar>
      </w:tblPr>
      <w:tblGrid>
        <w:gridCol w:w="1606"/>
        <w:gridCol w:w="1414"/>
        <w:gridCol w:w="1419"/>
        <w:gridCol w:w="458"/>
        <w:gridCol w:w="458"/>
        <w:gridCol w:w="316"/>
        <w:gridCol w:w="109"/>
        <w:gridCol w:w="109"/>
        <w:gridCol w:w="109"/>
        <w:gridCol w:w="213"/>
        <w:gridCol w:w="652"/>
        <w:gridCol w:w="156"/>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Grant-Date</w:t>
              <w:br/>
              <w:t>Fair Value</w:t>
              <w:br/>
              <w:t>per Share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Unvested and outstanding as of January 31, 2024</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404,965 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390,484 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Vested/Released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(371,417)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(90,133)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and outstanding as of January 31, 2025</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333,899 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weighted average grant date fair values of RSUs granted for the years ended January 31, 2024 and 2023 were $49.80 and $96.60 per share,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As of January 31, 2025, there wa</w:t>
      </w:r>
      <w:r>
        <w:rPr>
          <w:rFonts w:ascii="Arial;sans-serif" w:hAnsi="Arial;sans-serif"/>
          <w:b w:val="false"/>
          <w:color w:val="000000"/>
          <w:sz w:val="20"/>
        </w:rPr>
        <w:t xml:space="preserve">s $4.5 </w:t>
      </w:r>
      <w:r>
        <w:rPr>
          <w:rFonts w:ascii="Arial;sans-serif" w:hAnsi="Arial;sans-serif"/>
          <w:b w:val="false"/>
          <w:color w:val="000000"/>
          <w:sz w:val="20"/>
          <w:shd w:fill="FFFFFF" w:val="clear"/>
        </w:rPr>
        <w:t xml:space="preserve">million of unrecognized compensation cost related to RSUs granted that is expected to be recognized over a weighted average period of </w:t>
      </w:r>
      <w:r>
        <w:rPr>
          <w:rFonts w:ascii="Arial;sans-serif" w:hAnsi="Arial;sans-serif"/>
          <w:b w:val="false"/>
          <w:color w:val="000000"/>
          <w:sz w:val="20"/>
        </w:rPr>
        <w:t>1.1</w:t>
      </w:r>
      <w:r>
        <w:rPr>
          <w:color w:val="000000"/>
          <w:shd w:fill="FFFFFF" w:val="clear"/>
        </w:rPr>
        <w:t xml:space="preserve"> </w:t>
      </w:r>
      <w:r>
        <w:rPr>
          <w:rFonts w:ascii="Arial;sans-serif" w:hAnsi="Arial;sans-serif"/>
          <w:b w:val="false"/>
          <w:color w:val="000000"/>
          <w:sz w:val="20"/>
          <w:shd w:fill="FFFFFF" w:val="clear"/>
        </w:rPr>
        <w:t xml:space="preserve">years. Of the total unrecognized compensation cost, </w:t>
      </w:r>
      <w:r>
        <w:rPr>
          <w:rFonts w:ascii="Arial;sans-serif" w:hAnsi="Arial;sans-serif"/>
          <w:b w:val="false"/>
          <w:color w:val="000000"/>
          <w:sz w:val="20"/>
        </w:rPr>
        <w:t>$1.0</w:t>
      </w:r>
      <w:r>
        <w:rPr>
          <w:color w:val="000000"/>
          <w:shd w:fill="FFFFFF" w:val="clear"/>
        </w:rPr>
        <w:t xml:space="preserve"> </w:t>
      </w:r>
      <w:r>
        <w:rPr>
          <w:rFonts w:ascii="Arial;sans-serif" w:hAnsi="Arial;sans-serif"/>
          <w:b w:val="false"/>
          <w:color w:val="000000"/>
          <w:sz w:val="20"/>
          <w:shd w:fill="FFFFFF" w:val="clear"/>
        </w:rPr>
        <w:t>million related to RSUs granted as a result of the option exchange.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January 31, 2025</w:t>
      </w:r>
      <w:r>
        <w:rPr>
          <w:color w:val="000000"/>
        </w:rPr>
        <w:t xml:space="preserve"> </w:t>
      </w:r>
      <w:r>
        <w:rPr>
          <w:rFonts w:ascii="Arial;sans-serif" w:hAnsi="Arial;sans-serif"/>
          <w:b w:val="false"/>
          <w:color w:val="000000"/>
          <w:sz w:val="20"/>
        </w:rPr>
        <w:t>and 2024, there were zero and 43,518 vested and unreleased shares, respectively, included in unvested and outstanding shares in the table above.</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Share-Based Compensation Summary</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classification of share-based compensation for the years ended January 31, 2025,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and 2023, respectively, presented within each line item of the Consolidated Statements of Operations is as follows:</w:t>
      </w:r>
    </w:p>
    <w:tbl>
      <w:tblPr>
        <w:tblW w:w="6131" w:type="dxa"/>
        <w:jc w:val="left"/>
        <w:tblInd w:w="0" w:type="dxa"/>
        <w:tblLayout w:type="fixed"/>
        <w:tblCellMar>
          <w:top w:w="28" w:type="dxa"/>
          <w:left w:w="28" w:type="dxa"/>
          <w:bottom w:w="28" w:type="dxa"/>
          <w:right w:w="28" w:type="dxa"/>
        </w:tblCellMar>
      </w:tblPr>
      <w:tblGrid>
        <w:gridCol w:w="1069"/>
        <w:gridCol w:w="941"/>
        <w:gridCol w:w="944"/>
        <w:gridCol w:w="211"/>
        <w:gridCol w:w="436"/>
        <w:gridCol w:w="109"/>
        <w:gridCol w:w="109"/>
        <w:gridCol w:w="109"/>
        <w:gridCol w:w="109"/>
        <w:gridCol w:w="211"/>
        <w:gridCol w:w="541"/>
        <w:gridCol w:w="109"/>
        <w:gridCol w:w="109"/>
        <w:gridCol w:w="109"/>
        <w:gridCol w:w="109"/>
        <w:gridCol w:w="211"/>
        <w:gridCol w:w="54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Technology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Marketing</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Total share-based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recognized $2.4 million of incremental share-based compensation expense in General and administrative expenses during the year ended January 31, 2024 due to equity award modifications related to the transition of the Chief Financial Officer role.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Company recognized $1.6 million and $1.5 million of share-based compensation expense during the years ended </w:t>
      </w:r>
      <w:r>
        <w:rPr>
          <w:rFonts w:ascii="Arial;sans-serif" w:hAnsi="Arial;sans-serif"/>
          <w:b w:val="false"/>
          <w:color w:val="000000"/>
          <w:sz w:val="20"/>
          <w:shd w:fill="FFFFFF" w:val="clear"/>
        </w:rPr>
        <w:t>January 31, 2025 and 2024, respectively,</w:t>
      </w:r>
      <w:r>
        <w:rPr>
          <w:color w:val="000000"/>
        </w:rPr>
        <w:t xml:space="preserve"> </w:t>
      </w:r>
      <w:r>
        <w:rPr>
          <w:rFonts w:ascii="Arial;sans-serif" w:hAnsi="Arial;sans-serif"/>
          <w:b w:val="false"/>
          <w:color w:val="000000"/>
          <w:sz w:val="20"/>
        </w:rPr>
        <w:t>including incremental share-based compensation expense as a result of the option exchange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24"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14.Net Loss per Share Attributable to Common Stockholders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pStyle w:val="TextBody"/>
        <w:bidi w:val="0"/>
        <w:spacing w:lineRule="auto" w:line="288" w:before="240" w:after="283"/>
        <w:jc w:val="left"/>
        <w:rPr/>
      </w:pPr>
      <w:r>
        <w:rPr>
          <w:rFonts w:ascii="Arial;sans-serif" w:hAnsi="Arial;sans-serif"/>
          <w:b w:val="false"/>
          <w:color w:val="000000"/>
          <w:sz w:val="20"/>
          <w:shd w:fill="FFFFFF" w:val="clear"/>
        </w:rPr>
        <w:t>The following table sets forth the computation of basic and diluted net loss per share attributable to common stockho</w:t>
      </w:r>
      <w:r>
        <w:rPr>
          <w:rFonts w:ascii="Arial;sans-serif" w:hAnsi="Arial;sans-serif"/>
          <w:b w:val="false"/>
          <w:color w:val="000000"/>
          <w:sz w:val="20"/>
        </w:rPr>
        <w:t>lders, adjusted on a retroactive basis to reflect the Reverse Stock Split as discussed in Note 12, Stockholders’ Equity:</w:t>
      </w:r>
    </w:p>
    <w:tbl>
      <w:tblPr>
        <w:tblW w:w="10205" w:type="dxa"/>
        <w:jc w:val="left"/>
        <w:tblInd w:w="0" w:type="dxa"/>
        <w:tblLayout w:type="fixed"/>
        <w:tblCellMar>
          <w:top w:w="28" w:type="dxa"/>
          <w:left w:w="28" w:type="dxa"/>
          <w:bottom w:w="28" w:type="dxa"/>
          <w:right w:w="28" w:type="dxa"/>
        </w:tblCellMar>
      </w:tblPr>
      <w:tblGrid>
        <w:gridCol w:w="2379"/>
        <w:gridCol w:w="1866"/>
        <w:gridCol w:w="1869"/>
        <w:gridCol w:w="251"/>
        <w:gridCol w:w="770"/>
        <w:gridCol w:w="109"/>
        <w:gridCol w:w="109"/>
        <w:gridCol w:w="109"/>
        <w:gridCol w:w="109"/>
        <w:gridCol w:w="251"/>
        <w:gridCol w:w="770"/>
        <w:gridCol w:w="109"/>
        <w:gridCol w:w="109"/>
        <w:gridCol w:w="109"/>
        <w:gridCol w:w="109"/>
        <w:gridCol w:w="251"/>
        <w:gridCol w:w="770"/>
        <w:gridCol w:w="156"/>
      </w:tblGrid>
      <w:tr>
        <w:trPr/>
        <w:tc>
          <w:tcPr>
            <w:tcW w:w="237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6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Numerator:</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attributable to common stockholders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Denominator:</w:t>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3,212,746 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The following potentially dilutive outstanding securities based on amounts outstanding at each period end, </w:t>
      </w:r>
      <w:r>
        <w:rPr>
          <w:rFonts w:ascii="Arial;sans-serif" w:hAnsi="Arial;sans-serif"/>
          <w:b w:val="false"/>
          <w:color w:val="000000"/>
          <w:sz w:val="20"/>
        </w:rPr>
        <w:t>adjusted on a retroactive basis to reflect the Reverse Stock Split as discussed in Note 12, Stockholders’ Equity,</w:t>
      </w:r>
      <w:r>
        <w:rPr>
          <w:color w:val="000000"/>
          <w:shd w:fill="FFFFFF" w:val="clear"/>
        </w:rPr>
        <w:t xml:space="preserve"> </w:t>
      </w:r>
      <w:r>
        <w:rPr>
          <w:rFonts w:ascii="Arial;sans-serif" w:hAnsi="Arial;sans-serif"/>
          <w:b w:val="false"/>
          <w:color w:val="000000"/>
          <w:sz w:val="20"/>
          <w:shd w:fill="FFFFFF" w:val="clear"/>
        </w:rPr>
        <w:t>were excluded from the computation of diluted loss per share attributable to common stockholders because including them would have been anti-dilutive:</w:t>
      </w:r>
    </w:p>
    <w:tbl>
      <w:tblPr>
        <w:tblW w:w="6102" w:type="dxa"/>
        <w:jc w:val="left"/>
        <w:tblInd w:w="0" w:type="dxa"/>
        <w:tblLayout w:type="fixed"/>
        <w:tblCellMar>
          <w:top w:w="28" w:type="dxa"/>
          <w:left w:w="28" w:type="dxa"/>
          <w:bottom w:w="28" w:type="dxa"/>
          <w:right w:w="28" w:type="dxa"/>
        </w:tblCellMar>
      </w:tblPr>
      <w:tblGrid>
        <w:gridCol w:w="810"/>
        <w:gridCol w:w="708"/>
        <w:gridCol w:w="717"/>
        <w:gridCol w:w="427"/>
        <w:gridCol w:w="429"/>
        <w:gridCol w:w="156"/>
        <w:gridCol w:w="129"/>
        <w:gridCol w:w="129"/>
        <w:gridCol w:w="129"/>
        <w:gridCol w:w="427"/>
        <w:gridCol w:w="429"/>
        <w:gridCol w:w="156"/>
        <w:gridCol w:w="129"/>
        <w:gridCol w:w="129"/>
        <w:gridCol w:w="129"/>
        <w:gridCol w:w="428"/>
        <w:gridCol w:w="428"/>
        <w:gridCol w:w="213"/>
      </w:tblGrid>
      <w:tr>
        <w:trPr/>
        <w:tc>
          <w:tcPr>
            <w:tcW w:w="8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 options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402,756 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Common stock warrants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Total</w:t>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499,011 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579,152 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833,052 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15.Commitments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The Company had restricted cas</w:t>
      </w:r>
      <w:r>
        <w:rPr>
          <w:rFonts w:ascii="Arial;sans-serif" w:hAnsi="Arial;sans-serif"/>
          <w:b w:val="false"/>
          <w:color w:val="000000"/>
          <w:sz w:val="20"/>
        </w:rPr>
        <w:t xml:space="preserve">h balances for cash collateralized standby letters of credit as of </w:t>
      </w:r>
      <w:r>
        <w:rPr>
          <w:rFonts w:ascii="Arial;sans-serif" w:hAnsi="Arial;sans-serif"/>
          <w:b w:val="false"/>
          <w:color w:val="000000"/>
          <w:sz w:val="20"/>
          <w:shd w:fill="FFFFFF" w:val="clear"/>
        </w:rPr>
        <w:t xml:space="preserve">January 31, 2025 and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rPr>
        <w:t>of $9.1 million and $10.0 million, respectively, primarily to satisfy security deposit requirements on its leases. The restricted cash balances also consisted of letters of credit for rental product purchases and credit card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non-cancelable minimum purchase commitments that are related to technology services and are due over approximately three years. As of January 31, 2025, these commitments were $13.4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25"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13bf3a626a994fc1ab674d4dc732cf2c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shd w:fill="FFFFFF" w:val="clear"/>
        </w:rPr>
      </w:pPr>
      <w:r>
        <w:rPr>
          <w:rFonts w:ascii="Arial;sans-serif" w:hAnsi="Arial;sans-serif"/>
          <w:b/>
          <w:i/>
          <w:color w:val="000000"/>
          <w:sz w:val="20"/>
          <w:shd w:fill="FFFFFF" w:val="clear"/>
        </w:rPr>
        <w:t>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inter alia,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the Court issued an order adjourning defendants’ deadline to file an answer to the amended complaint sine die.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16.Subsequent Events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27, 2025, the Compensation Committee of the Board approved a cash retention bonus program in respect of fiscal year 2025 for its executive officers and other eligible participants. The maximum amount payable under the program is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26"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January 31, 2025 because of the material weaknesses in our internal control over financial reporting described below.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the below identified material weaknesses, management believes the consolidated financial statements as included in Part II, Item 8 of this Annual Report on Form 10-K present fairly, in all material respects, the Company's financial condition, results of operations and cash flows as of and for the periods presented in accordance with generally accepted accounting principles in the United States.</w: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120" w:after="283"/>
        <w:jc w:val="left"/>
        <w:rPr/>
      </w:pPr>
      <w:r>
        <w:rPr>
          <w:rFonts w:ascii="Arial;sans-serif" w:hAnsi="Arial;sans-serif"/>
          <w:b w:val="false"/>
          <w:color w:val="000000"/>
          <w:sz w:val="20"/>
        </w:rPr>
        <w:t>Management is responsible for establishing and maintaining adequate internal control over financial reporting, as such term is defined in Rules 13a-15(f) and 15d-15(f) under the Exchange Act. Our management, under the supervision and with the participation of our principal executive officer and principal financial officer, conducted an assessment of the effectiveness of our internal control over financial reporting as of January 31, 2025, based on the framework and criteria established in</w:t>
      </w:r>
      <w:r>
        <w:rPr>
          <w:color w:val="000000"/>
        </w:rPr>
        <w:t xml:space="preserve">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(2013) issued by the Committee of Sponsoring Organizations of the Treadway Commission. Based on this assessment, management concluded that, as of January 31, 2025, our internal control over financial reporting was not effective due to the existence of material weaknesses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January 31, 2025, these material weaknesses remain unremediated.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27"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consolidated financial statements that would not be prevented or detected.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Annual Report on Form 10-K does not include an attestation report of the Company’s independent registered public accounting firm regarding internal control over financial reporting pursuant to the JOBS Act because the Company is an “emerging growth company” as defined in Rule 12b-2 under the Exchange Act.</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Remediation Efforts to Address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that occurred during the quarter ended January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Bradford Shellhammer, Chief Product &amp; Marketing Officer, adopted a Rule 10b5-1 trading arrangement on December 16, 2024, that is intended to satisfy the affirmative defense of Rule 10b5-1(c) under the Exchange Act solely for the sale of the appropriate number of shares of our Class A common stock needed to satisfy minimum required federal, state, local, and foreign income and/or employment taxes in connection with the vesting of restricted stock units. The arrangement does not have a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28"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29"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the 2025 Annual Meeting of Stockholders (“Proxy Statement”) to be filed with the SEC within 120 days of the year ended January 31,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adopted insider trading policies and procedures applicable to our directors, officers,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employees, that are reasonably designed to promote compliance with insider trading laws, rules and regulations, and Nasdaq listing standards. Our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12. Security Ownership of Certain Beneficial Owners and Management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30"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The following documents are filed as part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consolidated financial statements are listed in the “Financial Statements and Supplementary Data” under Part II, Item 8,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financial statement schedules have been omitted because they are not required or are not applicable, or the required information is shown in our consolidated financial statements or the notes thereto.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397"/>
        <w:gridCol w:w="1169"/>
        <w:gridCol w:w="1173"/>
        <w:gridCol w:w="109"/>
        <w:gridCol w:w="109"/>
        <w:gridCol w:w="109"/>
        <w:gridCol w:w="177"/>
        <w:gridCol w:w="177"/>
        <w:gridCol w:w="178"/>
        <w:gridCol w:w="109"/>
        <w:gridCol w:w="109"/>
        <w:gridCol w:w="109"/>
        <w:gridCol w:w="337"/>
        <w:gridCol w:w="252"/>
        <w:gridCol w:w="184"/>
        <w:gridCol w:w="109"/>
        <w:gridCol w:w="109"/>
        <w:gridCol w:w="109"/>
        <w:gridCol w:w="220"/>
        <w:gridCol w:w="220"/>
        <w:gridCol w:w="221"/>
        <w:gridCol w:w="109"/>
        <w:gridCol w:w="109"/>
        <w:gridCol w:w="109"/>
        <w:gridCol w:w="202"/>
        <w:gridCol w:w="202"/>
        <w:gridCol w:w="203"/>
        <w:gridCol w:w="109"/>
        <w:gridCol w:w="109"/>
        <w:gridCol w:w="109"/>
        <w:gridCol w:w="342"/>
        <w:gridCol w:w="342"/>
        <w:gridCol w:w="49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 / Furnished 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Arial;sans-serif" w:hAnsi="Arial;sans-serif"/>
                  <w:b w:val="false"/>
                  <w:color w:val="0000FF"/>
                  <w:sz w:val="20"/>
                  <w:u w:val="single"/>
                </w:rPr>
                <w:t>Twelfth Amended &amp; Restated Certificate of Incorporation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Arial;sans-serif" w:hAnsi="Arial;sans-serif"/>
                  <w:b w:val="false"/>
                  <w:color w:val="0000FF"/>
                  <w:sz w:val="20"/>
                  <w:u w:val="single"/>
                </w:rPr>
                <w:t>Certificate of Amendment to Twelfth Amended &amp;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04/02/2024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Arial;sans-serif" w:hAnsi="Arial;sans-serif"/>
                  <w:b w:val="false"/>
                  <w:color w:val="0000FF"/>
                  <w:sz w:val="20"/>
                  <w:u w:val="single"/>
                </w:rPr>
                <w:t>Amended &amp;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Arial;sans-serif" w:hAnsi="Arial;sans-serif"/>
                  <w:b w:val="false"/>
                  <w:color w:val="0000FF"/>
                  <w:sz w:val="20"/>
                  <w:u w:val="single"/>
                </w:rPr>
                <w:t>Specimen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Arial;sans-serif" w:hAnsi="Arial;sans-serif"/>
                  <w:b w:val="false"/>
                  <w:color w:val="0000FF"/>
                  <w:sz w:val="20"/>
                  <w:u w:val="single"/>
                </w:rPr>
                <w:t>Eighth Amended and Restated Investors’ Rights Agreement (the “IRA”) by and among the Company and certain of its stockholders, dated April 30, 2020, as amended by that amendment No. 1 to the IRA, dated October 26, 2020 and that amendment No. 2 to the IRA, dated April 30,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Arial;sans-serif" w:hAnsi="Arial;sans-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Arial;sans-serif" w:hAnsi="Arial;sans-serif"/>
                  <w:b w:val="false"/>
                  <w:color w:val="0000FF"/>
                  <w:sz w:val="20"/>
                  <w:u w:val="single"/>
                </w:rPr>
                <w:t>2009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Arial;sans-serif" w:hAnsi="Arial;sans-serif"/>
                  <w:b w:val="false"/>
                  <w:color w:val="0000FF"/>
                  <w:sz w:val="20"/>
                  <w:u w:val="single"/>
                </w:rPr>
                <w:t>Form of Incentive Stock Option Agreement (2009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Arial;sans-serif" w:hAnsi="Arial;sans-serif"/>
                  <w:b w:val="false"/>
                  <w:color w:val="0000FF"/>
                  <w:sz w:val="20"/>
                  <w:u w:val="single"/>
                </w:rPr>
                <w:t>Form of Nonstatutory Stock Option Agreement (2009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Arial;sans-serif" w:hAnsi="Arial;sans-serif"/>
                  <w:b w:val="false"/>
                  <w:color w:val="0000FF"/>
                  <w:sz w:val="20"/>
                  <w:u w:val="single"/>
                </w:rPr>
                <w:t>2019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Arial;sans-serif" w:hAnsi="Arial;sans-serif"/>
                  <w:b w:val="false"/>
                  <w:color w:val="0000FF"/>
                  <w:sz w:val="20"/>
                  <w:u w:val="single"/>
                </w:rPr>
                <w:t>Form of Incentive Stock Option Agreement (2019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Arial;sans-serif" w:hAnsi="Arial;sans-serif"/>
                  <w:b w:val="false"/>
                  <w:color w:val="0000FF"/>
                  <w:sz w:val="20"/>
                  <w:u w:val="single"/>
                </w:rPr>
                <w:t>Form of Nonstatutory Stock Option Agreement (2019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Arial;sans-serif" w:hAnsi="Arial;sans-serif"/>
                  <w:b w:val="false"/>
                  <w:color w:val="0000FF"/>
                  <w:sz w:val="20"/>
                  <w:u w:val="single"/>
                </w:rPr>
                <w:t>Form of Restricted Stock Unit Agreement (2019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Arial;sans-serif" w:hAnsi="Arial;sans-serif"/>
                  <w:b w:val="false"/>
                  <w:color w:val="0000FF"/>
                  <w:sz w:val="20"/>
                  <w:u w:val="single"/>
                </w:rPr>
                <w:t xml:space="preserve">Amended and Restated 2021 Incentive Award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Arial;sans-serif" w:hAnsi="Arial;sans-serif"/>
                  <w:b w:val="false"/>
                  <w:color w:val="0000FF"/>
                  <w:sz w:val="20"/>
                  <w:u w:val="single"/>
                </w:rPr>
                <w:t>Form of Stock Option Agreement (2021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31"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3"/>
        <w:gridCol w:w="232"/>
        <w:gridCol w:w="221"/>
        <w:gridCol w:w="109"/>
        <w:gridCol w:w="109"/>
        <w:gridCol w:w="109"/>
        <w:gridCol w:w="1839"/>
        <w:gridCol w:w="1495"/>
        <w:gridCol w:w="1500"/>
        <w:gridCol w:w="109"/>
        <w:gridCol w:w="109"/>
        <w:gridCol w:w="109"/>
        <w:gridCol w:w="161"/>
        <w:gridCol w:w="116"/>
        <w:gridCol w:w="116"/>
        <w:gridCol w:w="109"/>
        <w:gridCol w:w="109"/>
        <w:gridCol w:w="109"/>
        <w:gridCol w:w="255"/>
        <w:gridCol w:w="255"/>
        <w:gridCol w:w="256"/>
        <w:gridCol w:w="109"/>
        <w:gridCol w:w="109"/>
        <w:gridCol w:w="109"/>
        <w:gridCol w:w="195"/>
        <w:gridCol w:w="195"/>
        <w:gridCol w:w="196"/>
        <w:gridCol w:w="109"/>
        <w:gridCol w:w="109"/>
        <w:gridCol w:w="109"/>
        <w:gridCol w:w="189"/>
        <w:gridCol w:w="189"/>
        <w:gridCol w:w="190"/>
        <w:gridCol w:w="109"/>
        <w:gridCol w:w="109"/>
        <w:gridCol w:w="109"/>
        <w:gridCol w:w="109"/>
        <w:gridCol w:w="109"/>
        <w:gridCol w:w="162"/>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Arial;sans-serif" w:hAnsi="Arial;sans-serif"/>
                  <w:b w:val="false"/>
                  <w:color w:val="0000FF"/>
                  <w:sz w:val="20"/>
                  <w:u w:val="single"/>
                </w:rPr>
                <w:t>Form of Restricted Stock Unit Agreement (2021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Arial;sans-serif" w:hAnsi="Arial;sans-serif"/>
                  <w:b w:val="false"/>
                  <w:color w:val="0000FF"/>
                  <w:sz w:val="20"/>
                  <w:u w:val="single"/>
                </w:rPr>
                <w:t>Form of Restricted Stock Unit Agreement (2021 Plan) (Mandatory Sell-to-Cover Election)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Arial;sans-serif" w:hAnsi="Arial;sans-serif"/>
                  <w:b w:val="false"/>
                  <w:color w:val="0000FF"/>
                  <w:sz w:val="20"/>
                  <w:u w:val="single"/>
                </w:rPr>
                <w:t>Form of Indemnification Agreement between the Company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4boardcompensationpr.htm">
              <w:r>
                <w:rPr>
                  <w:rStyle w:val="InternetLink"/>
                  <w:rFonts w:ascii="Arial;sans-serif" w:hAnsi="Arial;sans-serif"/>
                  <w:b w:val="false"/>
                  <w:color w:val="0000FF"/>
                  <w:sz w:val="20"/>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t>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Arial;sans-serif" w:hAnsi="Arial;sans-serif"/>
                  <w:b w:val="false"/>
                  <w:color w:val="0000FF"/>
                  <w:sz w:val="20"/>
                  <w:u w:val="single"/>
                </w:rPr>
                <w:t>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Arial;sans-serif" w:hAnsi="Arial;sans-serif"/>
                  <w:b w:val="false"/>
                  <w:color w:val="0000FF"/>
                  <w:sz w:val="20"/>
                  <w:u w:val="single"/>
                </w:rPr>
                <w:t>Amended and Restated Employment Agreement, by and between the Company and Jennifer Y. Hyman, dated October 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Arial;sans-serif" w:hAnsi="Arial;sans-serif"/>
                  <w:b w:val="false"/>
                  <w:color w:val="0000FF"/>
                  <w:sz w:val="20"/>
                  <w:u w:val="single"/>
                </w:rPr>
                <w:t>Amendment to Amended and Restated Employment Agreement by and between the Company and Jennifer Y. Hyman</w:t>
              </w:r>
            </w:hyperlink>
            <w:r>
              <w:rPr>
                <w:rFonts w:ascii="Arial;sans-serif" w:hAnsi="Arial;sans-serif"/>
                <w:b w:val="false"/>
                <w:color w:val="000000"/>
                <w:sz w:val="20"/>
              </w:rPr>
              <w:t>, dated May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6/10/2022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jhymansalaryamendment202.htm">
              <w:r>
                <w:rPr>
                  <w:rStyle w:val="InternetLink"/>
                  <w:rFonts w:ascii="Arial;sans-serif" w:hAnsi="Arial;sans-serif"/>
                  <w:b w:val="false"/>
                  <w:color w:val="000080"/>
                  <w:sz w:val="20"/>
                  <w:u w:val="single"/>
                </w:rPr>
                <w:t xml:space="preserve">Amendment to Amended and Restated Employment Agreement by and between the Company and Jennifer Y. Hyman, dated </w:t>
              </w:r>
            </w:hyperlink>
            <w:hyperlink w:anchor="jhymansalaryamendment202.htm">
              <w:r>
                <w:rPr>
                  <w:rStyle w:val="InternetLink"/>
                  <w:rFonts w:ascii="Arial;sans-serif" w:hAnsi="Arial;sans-serif"/>
                  <w:b w:val="false"/>
                  <w:color w:val="000080"/>
                  <w:sz w:val="20"/>
                  <w:u w:val="single"/>
                </w:rPr>
                <w:t>February 25,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10.18†X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Seventh Amendment to the Credit Agreement dated as of July 23, 2018, dated as of October 18, 2021 (as previously amended on December 21, 2018, April 24, 2019, November 26, 2019, June 2, 2020, August 18, 2020, and October 26, 2020), and as may be further amended, restated, supplemented or otherwise modified in accordance with the terms thereof),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Arial;sans-serif" w:hAnsi="Arial;sans-serif"/>
                  <w:b w:val="false"/>
                  <w:color w:val="0000FF"/>
                  <w:sz w:val="20"/>
                  <w:u w:val="single"/>
                </w:rPr>
                <w:t>Stockholders Agreement, dated October 29, 2021, by and among the Company, Jennifer Y. Hyman, entities affiliated with Bain Capital Ventures and entities affiliated with Highland Capital Partners and certain related parties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Lease, dated as of July 7, 2014 as amended by th</w:t>
              </w:r>
            </w:hyperlink>
            <w:r>
              <w:rPr>
                <w:rFonts w:ascii="Arial;sans-serif" w:hAnsi="Arial;sans-serif"/>
                <w:b w:val="false"/>
                <w:color w:val="000000"/>
                <w:sz w:val="20"/>
              </w:rPr>
              <w:t>e</w:t>
            </w:r>
            <w:hyperlink r:id="rId28">
              <w:r>
                <w:rPr>
                  <w:rStyle w:val="InternetLink"/>
                  <w:color w:val="0000FF"/>
                  <w:u w:val="single"/>
                </w:rPr>
                <w:t xml:space="preserve"> </w:t>
              </w:r>
            </w:hyperlink>
            <w:hyperlink r:id="rId29">
              <w:r>
                <w:rPr>
                  <w:rStyle w:val="InternetLink"/>
                  <w:rFonts w:ascii="Arial;sans-serif" w:hAnsi="Arial;sans-serif"/>
                  <w:b w:val="false"/>
                  <w:color w:val="0000FF"/>
                  <w:sz w:val="20"/>
                  <w:u w:val="single"/>
                </w:rPr>
                <w:t>certain Lease Modification Agreements, dated April 28, 2020 and August 9, 2020, each by and between Hartz Metro Leasehold I LLC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Arial;sans-serif" w:hAnsi="Arial;sans-serif"/>
                  <w:b w:val="false"/>
                  <w:color w:val="0000FF"/>
                  <w:sz w:val="20"/>
                  <w:u w:val="single"/>
                </w:rPr>
                <w:t>Industrial Lease, dated March 31, 2018, as amended by that certain First Amendment to Industrial Lease, dated August 31, 2020, by and between CPF BARDIN JV LP</w:t>
              </w:r>
            </w:hyperlink>
            <w:r>
              <w:rPr>
                <w:color w:val="000000"/>
              </w:rPr>
              <w:t xml:space="preserve"> </w:t>
            </w:r>
            <w:hyperlink r:id="rId31">
              <w:r>
                <w:rPr>
                  <w:rStyle w:val="InternetLink"/>
                  <w:rFonts w:ascii="Arial;sans-serif" w:hAnsi="Arial;sans-serif"/>
                  <w:b w:val="false"/>
                  <w:color w:val="0000FF"/>
                  <w:sz w:val="20"/>
                  <w:u w:val="single"/>
                </w:rPr>
                <w:t>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10.22†X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Arial;sans-serif" w:hAnsi="Arial;sans-serif"/>
                  <w:b w:val="false"/>
                  <w:color w:val="0000FF"/>
                  <w:sz w:val="20"/>
                  <w:u w:val="single"/>
                </w:rPr>
                <w:t>Lease, dated as of April 1, 2019, as amended by that certain First Amendment of Lease, dated December 10, 2020, by and between 10 Jay Master Tenant LLC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Arial;sans-serif" w:hAnsi="Arial;sans-serif"/>
                  <w:b w:val="false"/>
                  <w:color w:val="0000FF"/>
                  <w:sz w:val="20"/>
                  <w:u w:val="single"/>
                </w:rPr>
                <w:t xml:space="preserve">Partial Termination and Second Amendment of Lease, dated February 16, 2022, by and between 10 Jay Master Tenant LLC and the Company.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Arial;sans-serif" w:hAnsi="Arial;sans-serif"/>
                  <w:b w:val="false"/>
                  <w:color w:val="0000FF"/>
                  <w:sz w:val="20"/>
                  <w:u w:val="single"/>
                </w:rPr>
                <w:t>Eighth Amendment to the Credit Agreement dated as of August 15, 2022 (as previously amended on July 23, 2018, December 21, 2018, April 24, 2019, November 26, 2019, June 2, 2020, August 18, 2020, October 26, 2020, and October 18, 2021), and as may be further amended, restated, supplemented or otherwise modified in accordance with the terms thereof),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9/13/2022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32"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8"/>
        <w:gridCol w:w="228"/>
        <w:gridCol w:w="232"/>
        <w:gridCol w:w="109"/>
        <w:gridCol w:w="109"/>
        <w:gridCol w:w="109"/>
        <w:gridCol w:w="2123"/>
        <w:gridCol w:w="1187"/>
        <w:gridCol w:w="1190"/>
        <w:gridCol w:w="109"/>
        <w:gridCol w:w="109"/>
        <w:gridCol w:w="109"/>
        <w:gridCol w:w="128"/>
        <w:gridCol w:w="128"/>
        <w:gridCol w:w="129"/>
        <w:gridCol w:w="109"/>
        <w:gridCol w:w="109"/>
        <w:gridCol w:w="109"/>
        <w:gridCol w:w="218"/>
        <w:gridCol w:w="218"/>
        <w:gridCol w:w="219"/>
        <w:gridCol w:w="109"/>
        <w:gridCol w:w="109"/>
        <w:gridCol w:w="109"/>
        <w:gridCol w:w="194"/>
        <w:gridCol w:w="194"/>
        <w:gridCol w:w="198"/>
        <w:gridCol w:w="160"/>
        <w:gridCol w:w="160"/>
        <w:gridCol w:w="161"/>
        <w:gridCol w:w="187"/>
        <w:gridCol w:w="187"/>
        <w:gridCol w:w="188"/>
        <w:gridCol w:w="210"/>
        <w:gridCol w:w="210"/>
        <w:gridCol w:w="211"/>
        <w:gridCol w:w="109"/>
        <w:gridCol w:w="109"/>
        <w:gridCol w:w="161"/>
      </w:tblGrid>
      <w:tr>
        <w:trPr/>
        <w:tc>
          <w:tcPr>
            <w:tcW w:w="2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Arial;sans-serif" w:hAnsi="Arial;sans-serif"/>
                  <w:b w:val="false"/>
                  <w:color w:val="0000FF"/>
                  <w:sz w:val="20"/>
                  <w:u w:val="single"/>
                </w:rPr>
                <w:t>Ninth Amendment to the Credit Agreement, dated as of January 31, 2023,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4/13/2023</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10.26†X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Arial;sans-serif" w:hAnsi="Arial;sans-serif"/>
                  <w:b w:val="false"/>
                  <w:color w:val="0000FF"/>
                  <w:sz w:val="20"/>
                  <w:u w:val="single"/>
                </w:rPr>
                <w:t>Tenth Amendment to the Credit Agreement, dated as of December 1, 2023, (as previously amended on July 23, 2018, December 21, 2018, April 24, 2019, November 26, 2019, June 2, 2020, August 18, 2020, October 26, 2020, October 18, 2021 and January 31, 2023),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Arial;sans-serif" w:hAnsi="Arial;sans-serif"/>
                  <w:b w:val="false"/>
                  <w:color w:val="0000FF"/>
                  <w:sz w:val="20"/>
                  <w:u w:val="single"/>
                </w:rPr>
                <w:t>Form of Retention Bonus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12/06/2023</w:t>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45266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Arial;sans-serif" w:hAnsi="Arial;sans-serif"/>
                  <w:b w:val="false"/>
                  <w:color w:val="0000FF"/>
                  <w:sz w:val="20"/>
                  <w:u w:val="single"/>
                </w:rPr>
                <w:t>Offer Letter Amendment, between the Company and Siddharth Thacker, dated April 11,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4/12/2023</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Arial;sans-serif" w:hAnsi="Arial;sans-serif"/>
                  <w:b w:val="false"/>
                  <w:color w:val="0000FF"/>
                  <w:sz w:val="20"/>
                  <w:u w:val="single"/>
                </w:rPr>
                <w:t>Third Lease Modification, dated as of January 29, 2024 by and between Hartz Metro Leasehold I LLC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0">
              <w:r>
                <w:rPr>
                  <w:rStyle w:val="InternetLink"/>
                  <w:rFonts w:ascii="Arial;sans-serif" w:hAnsi="Arial;sans-serif"/>
                  <w:b w:val="false"/>
                  <w:color w:val="0000FF"/>
                  <w:sz w:val="20"/>
                  <w:u w:val="single"/>
                </w:rPr>
                <w:t>Amended and Restated Executive Severance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10.33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4/11/2024</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Arial;sans-serif" w:hAnsi="Arial;sans-serif"/>
                  <w:b w:val="false"/>
                  <w:color w:val="000080"/>
                  <w:sz w:val="20"/>
                  <w:u w:val="single"/>
                </w:rPr>
                <w:t>T</w:t>
              </w:r>
            </w:hyperlink>
            <w:hyperlink r:id="rId42">
              <w:r>
                <w:rPr>
                  <w:rStyle w:val="InternetLink"/>
                  <w:rFonts w:ascii="Arial;sans-serif" w:hAnsi="Arial;sans-serif"/>
                  <w:b w:val="false"/>
                  <w:color w:val="000080"/>
                  <w:sz w:val="20"/>
                  <w:u w:val="single"/>
                </w:rPr>
                <w:t>rans</w:t>
              </w:r>
            </w:hyperlink>
            <w:hyperlink r:id="rId43">
              <w:r>
                <w:rPr>
                  <w:rStyle w:val="InternetLink"/>
                  <w:rFonts w:ascii="Arial;sans-serif" w:hAnsi="Arial;sans-serif"/>
                  <w:b w:val="false"/>
                  <w:color w:val="000080"/>
                  <w:sz w:val="20"/>
                  <w:u w:val="single"/>
                </w:rPr>
                <w:t>action B</w:t>
              </w:r>
            </w:hyperlink>
            <w:hyperlink r:id="rId44">
              <w:r>
                <w:rPr>
                  <w:rStyle w:val="InternetLink"/>
                  <w:rFonts w:ascii="Arial;sans-serif" w:hAnsi="Arial;sans-serif"/>
                  <w:b w:val="false"/>
                  <w:color w:val="000080"/>
                  <w:sz w:val="20"/>
                  <w:u w:val="single"/>
                </w:rPr>
                <w:t>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5/21/2024</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orm2025retentionprogram.htm">
              <w:r>
                <w:rPr>
                  <w:rStyle w:val="InternetLink"/>
                  <w:rFonts w:ascii="Arial;sans-serif" w:hAnsi="Arial;sans-serif"/>
                  <w:b w:val="false"/>
                  <w:color w:val="000080"/>
                  <w:sz w:val="20"/>
                  <w:u w:val="single"/>
                </w:rPr>
                <w:t>F</w:t>
              </w:r>
            </w:hyperlink>
            <w:hyperlink w:anchor="form2025retentionprogram.htm">
              <w:r>
                <w:rPr>
                  <w:rStyle w:val="InternetLink"/>
                  <w:rFonts w:ascii="Arial;sans-serif" w:hAnsi="Arial;sans-serif"/>
                  <w:b w:val="false"/>
                  <w:color w:val="000080"/>
                  <w:sz w:val="20"/>
                  <w:u w:val="single"/>
                </w:rPr>
                <w:t>orm of Special Retention P</w:t>
              </w:r>
            </w:hyperlink>
            <w:hyperlink w:anchor="form2025retentionprogram.htm">
              <w:r>
                <w:rPr>
                  <w:rStyle w:val="InternetLink"/>
                  <w:rFonts w:ascii="Arial;sans-serif" w:hAnsi="Arial;sans-serif"/>
                  <w:b w:val="false"/>
                  <w:color w:val="000080"/>
                  <w:sz w:val="20"/>
                  <w:u w:val="single"/>
                </w:rPr>
                <w:t xml:space="preserve">rogram </w:t>
              </w:r>
            </w:hyperlink>
            <w:hyperlink w:anchor="form2025retentionprogram.htm">
              <w:r>
                <w:rPr>
                  <w:rStyle w:val="InternetLink"/>
                  <w:rFonts w:ascii="Arial;sans-serif" w:hAnsi="Arial;sans-serif"/>
                  <w:b w:val="false"/>
                  <w:color w:val="000080"/>
                  <w:sz w:val="20"/>
                  <w:u w:val="single"/>
                </w:rPr>
                <w:t>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trinsidertradingpolicy.htm">
              <w:r>
                <w:rPr>
                  <w:rStyle w:val="InternetLink"/>
                  <w:rFonts w:ascii="Arial;sans-serif" w:hAnsi="Arial;sans-serif"/>
                  <w:b w:val="false"/>
                  <w:color w:val="000080"/>
                  <w:sz w:val="20"/>
                  <w:u w:val="single"/>
                </w:rPr>
                <w:t>I</w:t>
              </w:r>
            </w:hyperlink>
            <w:hyperlink w:anchor="rtrinsidertradingpolicy.htm">
              <w:r>
                <w:rPr>
                  <w:rStyle w:val="InternetLink"/>
                  <w:rFonts w:ascii="Arial;sans-serif" w:hAnsi="Arial;sans-serif"/>
                  <w:b w:val="false"/>
                  <w:color w:val="000080"/>
                  <w:sz w:val="20"/>
                  <w:u w:val="single"/>
                </w:rPr>
                <w:t>nsider T</w:t>
              </w:r>
            </w:hyperlink>
            <w:hyperlink w:anchor="rtrinsidertradingpolicy.htm">
              <w:r>
                <w:rPr>
                  <w:rStyle w:val="InternetLink"/>
                  <w:rFonts w:ascii="Arial;sans-serif" w:hAnsi="Arial;sans-serif"/>
                  <w:b w:val="false"/>
                  <w:color w:val="000080"/>
                  <w:sz w:val="20"/>
                  <w:u w:val="single"/>
                </w:rPr>
                <w:t>ra</w:t>
              </w:r>
            </w:hyperlink>
            <w:hyperlink w:anchor="rtrinsidertradingpolicy.htm">
              <w:r>
                <w:rPr>
                  <w:rStyle w:val="InternetLink"/>
                  <w:rFonts w:ascii="Arial;sans-serif" w:hAnsi="Arial;sans-serif"/>
                  <w:b w:val="false"/>
                  <w:color w:val="000080"/>
                  <w:sz w:val="20"/>
                  <w:u w:val="single"/>
                </w:rPr>
                <w:t>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11fy2024listofsubs.htm">
              <w:r>
                <w:rPr>
                  <w:rStyle w:val="InternetLink"/>
                  <w:rFonts w:ascii="Arial;sans-serif" w:hAnsi="Arial;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1pwcconsent-fy202.htm">
              <w:r>
                <w:rPr>
                  <w:rStyle w:val="InternetLink"/>
                  <w:rFonts w:ascii="Arial;sans-serif" w:hAnsi="Arial;sans-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1fy2024.htm">
              <w:r>
                <w:rPr>
                  <w:rStyle w:val="InternetLink"/>
                  <w:rFonts w:ascii="Arial;sans-serif" w:hAnsi="Arial;sans-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2fy2024.htm">
              <w:r>
                <w:rPr>
                  <w:rStyle w:val="InternetLink"/>
                  <w:rFonts w:ascii="Arial;sans-serif" w:hAnsi="Arial;sans-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fy2024.htm">
              <w:r>
                <w:rPr>
                  <w:rStyle w:val="InternetLink"/>
                  <w:rFonts w:ascii="Arial;sans-serif" w:hAnsi="Arial;sans-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fy2024.htm">
              <w:r>
                <w:rPr>
                  <w:rStyle w:val="InternetLink"/>
                  <w:rFonts w:ascii="Arial;sans-serif" w:hAnsi="Arial;sans-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Arial;sans-serif" w:hAnsi="Arial;sans-serif"/>
                  <w:b w:val="false"/>
                  <w:color w:val="0000FF"/>
                  <w:sz w:val="20"/>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33"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040"/>
        <w:gridCol w:w="2040"/>
        <w:gridCol w:w="204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Indicates management contract or compensatory plan</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Certain portions of this exhibit (indicated by “[***]”) have been omitted pursuant to Regulation S-K, Item (601)(b)(10) because the omitted information (i) is not material and (ii) is treated as confidential by the Company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 Certain schedules (or similar attachments) to this exhibit have been omitted pursuant to Regulation S-K, Item 601(a)(5). The registrant agrees to furnish a copy of any omitted schedule (or similar attachment) to the Securities and Exchange Commission upon request.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34"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35"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Sections 13 or 15(d) of the Securities Exchange Act of 1934, the registrant has duly caused this Report to be signed on its behalf by the undersigned thereunto duly authorized.</w:t>
      </w:r>
    </w:p>
    <w:tbl>
      <w:tblPr>
        <w:tblW w:w="5210" w:type="dxa"/>
        <w:jc w:val="left"/>
        <w:tblInd w:w="0" w:type="dxa"/>
        <w:tblLayout w:type="fixed"/>
        <w:tblCellMar>
          <w:top w:w="28" w:type="dxa"/>
          <w:left w:w="28" w:type="dxa"/>
          <w:bottom w:w="28" w:type="dxa"/>
          <w:right w:w="28" w:type="dxa"/>
        </w:tblCellMar>
      </w:tblPr>
      <w:tblGrid>
        <w:gridCol w:w="667"/>
        <w:gridCol w:w="585"/>
        <w:gridCol w:w="592"/>
        <w:gridCol w:w="397"/>
        <w:gridCol w:w="397"/>
        <w:gridCol w:w="397"/>
        <w:gridCol w:w="636"/>
        <w:gridCol w:w="636"/>
        <w:gridCol w:w="90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RENT THE RUNWAY,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15, 2025</w:t>
            </w:r>
          </w:p>
        </w:tc>
        <w:tc>
          <w:tcPr>
            <w:tcW w:w="11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1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Jennifer Y. Hyman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680"/>
        <w:gridCol w:w="596"/>
        <w:gridCol w:w="598"/>
        <w:gridCol w:w="109"/>
        <w:gridCol w:w="109"/>
        <w:gridCol w:w="109"/>
        <w:gridCol w:w="2133"/>
        <w:gridCol w:w="2118"/>
        <w:gridCol w:w="2144"/>
        <w:gridCol w:w="109"/>
        <w:gridCol w:w="109"/>
        <w:gridCol w:w="109"/>
        <w:gridCol w:w="371"/>
        <w:gridCol w:w="371"/>
        <w:gridCol w:w="540"/>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1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Jennifer Y. Hyman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Chief Executive Officer and Director </w:t>
            </w: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Jennifer Y. Hyman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Chief Financial Officer </w:t>
            </w:r>
            <w:r>
              <w:rPr>
                <w:rFonts w:ascii="Arial;sans-serif" w:hAnsi="Arial;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Siddharth Thacker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Tim Bixby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Tim Bixby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Jennifer Fleiss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Jennifer Fleiss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Scott Friend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Scott Friend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Beth Kaplan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Beth Kaplan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Gwyneth Paltrow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Gwyneth Paltrow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Mike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15, 2025</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Mike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bookmarkStart w:id="0" w:name="a2024boardcompensationpr.htm"/>
      <w:bookmarkStart w:id="1" w:name="ksa2024boardcompensationpr"/>
      <w:bookmarkEnd w:id="0"/>
      <w:bookmarkEnd w:id="1"/>
      <w:r>
        <w:rPr/>
        <w:drawing>
          <wp:inline distT="0" distB="0" distL="0" distR="0">
            <wp:extent cx="10048875" cy="13001625"/>
            <wp:effectExtent l="0" t="0" r="0" b="0"/>
            <wp:docPr id="1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37"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jc w:val="center"/>
        <w:rPr>
          <w:color w:val="FFFFFF"/>
          <w:sz w:val="2"/>
        </w:rPr>
      </w:pPr>
      <w:r>
        <w:rPr>
          <w:color w:val="FFFFFF"/>
          <w:sz w:val="2"/>
        </w:rPr>
        <w:t xml:space="preserve">Rent the Runway, Inc. Non-Employee Director Compensation Program This Program has been adopted under the Company’s 2021 Incentive Award Plan (or any successor plan, the “Plan”) and is effective as of May 15, 2024. Cash Compensation Annual cash retainers will be paid in the following amounts: Board Service Each Non-Employee Director: $75,000 Committee Service Finance Committee: Audit Committee Chair: $75,000 $25,000 Compensation Committee Chair $15,000 Nominating and ESG Committee Chair: $5,000 There are no additional fees for service as regular Committee members. All annual cash retainers will be paid quarterly in arrears within 30 days following the end of the applicable fiscal quarter. The first payment under this Program shall be within 30 days of May 1, 2024 for the first fiscal quarter of 2024. If a Non-Employee Director does not serve as a Non- Employee Director or in a Committee Chair position for an entire fiscal quarter, the retainer shall be prorated for the portion of the fiscal quarter that the Non-Employee Director served in the relevant role(s). Equity Compensation Each Non-Employee Director who will continue to serve as a Non-Employee Director immediately following an annual meeting of the Company’s stockholders (an “Annual Meeting”) shall be granted an award of restricted stock units (“RSUs”) (the “Annual RSU Award”). The Board shall determine the amount of the Annual RSU Award annually. In fiscal year 2024, each Non-Employee Director shall receive 1,685 RSUs for their Annual RSU Award. The Annual RSU Award will be automatically granted on the date of the applicable Annual Meeting. Each Annual RSU Award will vest in full, and the underlying shares be issued, as of the earlier of (i) the first anniversary of the date of grant or (ii) immediately before the next Annual Meeting following the date of grant of the Annual RSU Award, subject to the Non-Employee Director continuing in service on the Board through such vesting date. The vesting of an Annual RSU Award will cease upon a Non-Employee Director’s termination of service on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for RSU Elections All cash for RSU elections are canceled for fiscal year 2024 and may be reinstated in future years at the discretion of the Board. Reimbursements The Company will reimburse Non-Employee Directors for reasonable travel and other business expenses incurred in connection with their duties to the Company, in accordance with the Company’s applicable expense reimbursement policies and procedures. Change in Control Upon a Change in Control (as defined in the Plan), all outstanding RSUs that are held by a Non- Employee Director shall become fully vested and/or exercisable, irrespective of any other provisions of the Non-Employee Director’s award agreement(s). Miscellaneous All applicable terms of the Plan apply to this Program. RSUs granted pursuant to this Program shall be granted under the Plan and subject to the terms set forth in the approved form of award agreement. The cash and equity compensation described in this Program shall be paid automatically and without further action of the Board, unless a Non-Employee Director declines the receipt by written notice to the Company. This Program may be amended, modified or terminated by the Board at any time in its sole discretion. The terms and conditions of this Program supersede any prior compensation arrangements for service as a Non-Employee Director.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jhymansalaryamendment202.htm"/>
      <w:bookmarkStart w:id="3" w:name="ksjhymansalaryamendment202"/>
      <w:bookmarkEnd w:id="2"/>
      <w:bookmarkEnd w:id="3"/>
      <w:r>
        <w:rPr/>
        <w:drawing>
          <wp:inline distT="0" distB="0" distL="0" distR="0">
            <wp:extent cx="10048875" cy="13001625"/>
            <wp:effectExtent l="0" t="0" r="0" b="0"/>
            <wp:docPr id="1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Ms. Jennifer Y. Hyman RENT THE RUNWAY, INC. 10 JAY STREET BROOKLYN, NEW YORK 11201 February 25, 2025 Re: Amended and Restated Employment Agreement Amendment Dear Jenn: This Letter Agreement constitutes an amendment to the Amended and Restated Employment Agreement between you and Rent the Runway, Inc., a Delaware corporation (the “Company”), dated as of October 5, 2021, as previously amended May 18, 2022 (the “Employment Agreement”). Capitalized terms used in this Letter Agreement and not defined shall have the meaning given such terms in the Employment Agreement. 1. Salary. For fiscal year 2025 and thereafter during the Term, the Salary shall be set at an annual rate of Seven Hundred and Fifty Thousand Dollars ($750,000), payable in accordance with the regular payroll practices of the Company, but not less frequently than monthly. The Salary remains subject to review no less than annually for possible increase, but not decrease, by the Board or its authorized committee. 2. Except as expressly provided for in this Letter Agreement, the Employment Agreement and its terms and conditions remain in full force and effect and unchanged by this Letter Agreement. This Letter Agreement is to be governed by and construed in accordance with the laws of the State of New York without regard to the choice of law principles thereof. The provisions of Section 17 of the Employment Agreement with respect to dispute resolution shall apply to this Letter Agreement. 3. Please acknowledge your agreement to the terms and conditions set forth in this letter by signing and dating this letter in the space provided below.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Very truly yours, /s/ Cara Schembri Cara Schembri Agreed and accepted /s/ Jennifer Y. Hyman Jennifer Y. Hyman 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form2025retentionprogram.htm"/>
      <w:bookmarkStart w:id="5" w:name="ksform2025retentionprogram"/>
      <w:bookmarkEnd w:id="4"/>
      <w:bookmarkEnd w:id="5"/>
      <w:r>
        <w:rPr/>
        <w:drawing>
          <wp:inline distT="0" distB="0" distL="0" distR="0">
            <wp:extent cx="10048875" cy="13001625"/>
            <wp:effectExtent l="0" t="0" r="0" b="0"/>
            <wp:docPr id="14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Form 2025 Retention Program Participation Notice Name: For fiscal year 2025, you are eligible for a cash retention bonus (the “Retention Bonus”) pursuant to the Amended &amp; Restated 2021 Incentive Award Plan (the “Incentive Plan”) of Rent the Runway, Inc. (together with its subsidiaries, the “Company”) as follows: 1. Retention Period: Feb. 1, 2025 - January 31, 2026 2. Retention Bonus: The aggregate target amount of your Retention Bonus is $[●]. 3. Bonus Conditions: 50% of your Retention Bonus is subject solely to the Service Condition (as defined below), and 50% of your Retention Bonus is subject to the Service Condition and the Performance Condition (as defined below). The Retention Bonus is subject to all applicable withholding taxes. 4. Service Condition: 50% of your Retention Bonus will be earned in equal installments based on your continued employment with the Company on the last day of each fiscal quarter during the Retention Period (each, a “Payment Date”) and your not giving or receiving notice of termination or being on a performance improvement plan on each applicable Payment Date (the “Service Condition”). 5. Performance Condition: 50% of your Retention Bonus (the “Performance Retention Bonus”) will be eligible to be earned in the percentages set forth in Exhibit A based on both (i) your satisfaction of the Service Condition in respect of the applicable fiscal quarter and (ii) the extent to which the Company achieved the performance metrics set forth in Exhibit A (the “Company Performance Metrics”) in respect of such fiscal quarter (the “Performance Condition”). Achievement of the Company Performance Metrics will be assessed by the Compensation Committee of the Board of Directors (the “Committee”) as of the end of each fiscal quarter. 6. Consequences of Termination of Employment: Except as set forth in this Section 6, if your employment with the Company terminates for any reason prior to a Payment Date, no portion of the Retention Bonus shall be payable to you in respect of such Payment Date or any future Payment Date. a. Notwithstanding the foregoing, upon the occurrence of a Transaction (as defined in the Company’s Transaction Bonus Plan), if your employment with the Company is terminated by the Company (or any successor/surviving entity) without Cause (as defined in the Company’s Transaction Bonus Plan) during the Retention Period, you will receive 25% of the aggregate target amount of the Retention Bonus, provided that you timely execute and do not revoke a release of claims in favor of the Company in a form provided by the Company. 7. Payment Timing: Regular Retention Bonus payments, if any, shall be paid on the next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payroll date following the applicable Payment Date. If a portion of the Retention Bonus becomes payable pursuant to Section 6, it shall be paid in a lump sum on the first payroll date following the release of claims becoming effective and irrevocable; provided that in any case where termination of employment and the release of claims deadline fall in two separate taxable years, such payment shall be made in the later taxable year. This Participation Notice and the Incentive Plan, together, set forth the entire agreement between you and the Company regarding the Retention Bonus and supersede any and all prior agreements or understandings between you and the Company with respect to the Retention Bonus. The Retention Bonus shall become payable solely as set forth in this Participation Notice, and shall not be considered a bonus for purposes of calculating amounts payable to you under any severance plan, employment agreement or other plan, program, policy, agreement or arrangement applicable to you in respect of your service to the Company. Agreed and Accepted: ____________________________________ Name: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rtrinsidertradingpolicy.htm"/>
      <w:bookmarkStart w:id="7" w:name="ksrtrinsidertradingpolicy"/>
      <w:bookmarkEnd w:id="6"/>
      <w:bookmarkEnd w:id="7"/>
      <w:r>
        <w:rPr/>
        <w:drawing>
          <wp:inline distT="0" distB="0" distL="0" distR="0">
            <wp:extent cx="10048875" cy="13001625"/>
            <wp:effectExtent l="0" t="0" r="0" b="0"/>
            <wp:docPr id="14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Rent the Runway, Inc. INSIDER TRADING POLICY Last Updated February 11,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Why do we have this Policy? This Policy is intended to help you and Rent the Runway (“RTR”) comply with insider trading laws. Insider trading laws are complex and violations can carry serious consequences. This Policy describes the main legal requirements and steps you need to take before trading in RTR stock. In particular, there are five key requirements that this Policy describes in detail: 1. You may trade (buy or sell) only when you do not have any material non-public information (“MNPI”) about RTR. 2. Corporate, Operations management, CX management employees and members of the board of directors may only trade during an open trading window and when they do not have any MNPI. 3. Members of the board of directors and certain RTR employees need to have their trades approved in advance by Legal. 4. You can’t share or “tip” material non-public information about RTR or another company to anyone who isn’t authorized to be in the know. 5. You can’t trade in the securities of any other company while you have material non- public information about that company. Who’s Covered This Policy applies to members of the board of directors and all RTR employees. This Policy also applies to your immediate family members who share your household, and anyone who is your economic dependent. Immediate family members include: your kids, stepchildren, grandchildren, parents, stepparents, grandparents, spouses, domestic partners, siblings, mother-in-laws, father-in-laws, son-in-laws, daughter-in-laws, brother-in-laws, or sister- in-laws, and adoptive relationships. This Policy also applies to any entities or accounts you may control, including any corporations, limited liability companies, partnerships or trusts. Use good judgment about any close relationships that don’t fit neatly into one of these categories and, when in doubt, follow the Policy. What’s Covered This Policy applies to all transactions involving RTR securities. This includes exercises of stock options and purchases, sales, gifts and other transfers of RTR common stock, warrants, preferred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stock, debt securities (such as bonds and notes) and other securities. It also includes derivative securities such as put or call options, hedging transactions, short sales and other similar types of arrangements. Every transaction counts—there are no exceptions from insider trading laws or this Policy based on the size or dollar amount of the transaction or your personal circumstances or hardships. There are some limited exceptions (see p. 6), but when in doubt, assume that a transaction is covered and reach out to Legal with questions. When You Can’t Trade You cannot trade in RTR securities at any time when you possess material non-public information relating to RTR. In addition, if you acquire through the course of your employment material non- public information about another company to which you or RTR has a duty of trust or confidence, you are prohibited from trading in securities of that company until the information has been adequately disclosed to the public. This is because if you know information that could cause the price of the security to change, you have a duty to the company not to use the information for personal gain. Trading on the basis of material non-public information is fraudulent and illegal. In general, information is material if there is a substantial likelihood that a reasonable investor would consider it important in deciding whether to buy or sell stock or if it is likely to affect the price of stock if disclosed. Material information can be favorable or unfavorable. Courts and regulators often second-guess materiality determinations with the benefit of hindsight. It’s not possible to define all types of information that might be considered “material;” however, examples often include: ● Financial results and projections or forecasts of future financial results; ● Significant corporate events, such as mergers, joint ventures, acquisitions or dispositions; ● Significant product introductions, modifications, or pricing changes; ● Developments involving significant business relationships, including new or modified agreements with vendors or other business partners; ● Restatements of financial results, or material impairments, write-offs or restructurings; ● Significant financial obligations, or financial liquidity problems; ● Changes in senior management or major lay-offs;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Stock splits, dividends, recapitalizations, stock repurchase programs; ● New equity or debt offerings; and ● Significant litigation or other legal or regulatory developments (actual or threatened). Information is considered non-public until it has been broadly disseminated to the public by a press release, SEC filing, pre-announced webcast or other form of public communication. It’s not enough that a few people outside of RTR know the information—the information needs to reach investors generally and the stock market needs time to react. As a general rule, you should consider information to be non-public until at least one full trading day after it has been broadly and publicly shared; however, it could be a longer period of time. As a practical matter, this means that confidential information about RTR that could reasonably be expected to affect the price of RTR’s stock (positively or negatively) is likely to be material. If you are unsure whether something might be considered material non-public information, check with Legal. When You Can Trade Corporate, Operations Management Employees, CX Management Employees &amp; Members of the Board of Directors Corporate, operations management, and CX management employees and directors may only trade during open window periods when they do not have material non-public information. An open window period typically occurs four times a year following RTR’s fiscal year-end or quarterly earnings releases. An open window period will generally begin on the second full trading day following RTR’s earnings announcement. For example, if an earnings announcement was issued on Tuesday after the stock market closed, then the window would open and trading could begin on Thursday morning. The length of an open window period will depend on a number of factors. Legal will set the exact dates of each open window period and share them with directors and RTR employees in advance. From time to time, it may be appropriate to restrict trading during an open window period. For example, a team working on a significant acquisition or product that has not yet been publicly disclosed may not be able to trade during an open window period because they have material non- public information. Legal will notify you if you need to comply with any special restrictions. No reasons may be provided and the closing of an open window may itself constitute material non- public information that should not be communicated.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Other Employees Non-corporate, non-operations management, non-CX management employees may only trade when they do not have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Pre-Clearing Trades or Gifts of RTR Securities All directors, the Executive Team and certain other RTR employees with regular access to material non-public information are required to pre-clear all transactions in RTR stock with Legal. Legal will maintain the current list of people who are required to pre-clear transactions, and the list may change from time to time. If you are required to pre-clear your trades, Legal will send you an email before each open window period that tells you what steps you need to take. For example, you will need to confirm in writing that you are not in possession of material non-public information. If for some reason you are no longer required to pre-clear your transactions (e.g., due to a role change), Legal will let you know. Pre-clearance will be effective for five business days following the date of pre-clearance, unless circumstances change and/or the pre-clearance is revoked. If a trade is not completed within the five business days, you will need to submit a new pre-clearance request. If you adopt a pre-approved written trading plan in compliance with the requirements described in Appendix A, you will not need to pre-clear each individual transaction under the trading plan. See Appendix A for more details. As a reminder, pre-clearance of a trade is not a defense to a claim of insider trading and does not excuse you from otherwise complying with insider trading laws or this Policy. Further, pre- clearance of a transaction does not mean that RTR or that Legal has affirmed that you are not in possession of material non-public information. No Tipping! By working for or with RTR, you have already agreed to keep certain information confidential. For details, you can refer to the Code of Conduct and External Communications Policy and your non-disclosure agreement attached to your offer letter or other contract with RTR. Along the same lines, you can’t disclose material non-public information about RTR to anyone who is not authorized to be in the know. This could be considered “tipping,” which is illegal and involves someone with material non-public information sharing that information with someone who then uses it to trade. You also can’t make recommendations or express opinions about trading in RTR stock or any other company’s stock on the basis of material non-public information. To be clear, this rule covers disclosures (even anonymous disclosures) via the Internet, blogs, forums, chat rooms, social media or the like, as well as verbal disclosures. You can refer to our External Communications Policy if you want to know what RTR facts are safe to mention publicly and what facts need to stay confidential. If you are unsure whether a certain piece of information may be disclosed, check with Legal.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Other Don’ts The following types of transactions in RTR securities are not allowed under this Policy: ● Short sales (e.g., selling stock that you don’t own and need to borrow to complete the sale or shorting to delay a taxable event) ● Hedging or similar transactions ● Derivatives trading (including, for example, equity swaps or publicly-traded options, such as puts and calls) ● Pledging or using RTR securities as loan collateral, unless specifically approved by the Board of Directors or the Audit Committee ● Purchasing RTR securities on margin or holding RTR securities in margin accounts ● Placing, outside of a Rule 10b5-1 plan, open orders such as limit orders or stop orders for buying or selling RTR stock that can result in transactions outside of an open window period or pre-clearance approval period or when you may be in possession of material non-public information Policy Exceptions The following types of transactions in RTR securities are generally allowed under this Policy, even outside of a trading window. Each transaction will need to comply with the law. You may also be required to seek pre-clearance as noted below. In addition, any transactions involving your RTR stock options or other equity awards will need to comply with the applicable equity plan, which typically restricts certain transfers and gifts. When in doubt, please contact Legal to discuss. ● Transactions under a pre-approved written trading plan that complies with the requirements of Rule 10b5-1(see Appendix A) or that meets the definition of a “non- Rule 10b5-1 trading arrangement” under Item 408 of Regulation S-K. ● The receipt, vesting, cancellation or forfeiture of RTR equity awards such as stock options or restricted stock units, including having shares withheld by RTR to cover tax obligations in connection with a vesting.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Exercising RTR stock options where no RTR stock is sold to fund the exercise. For example, a cash exercise where you continue to hold the underlying shares of stock, and where RTR withholds shares to cover tax obligations in connection with such an exercise. However, stock that was acquired upon exercise of a stock option will be treated like any other stock, and may not be sold if you are in possession of material nonpublic information, including in a “cashless” exercise. ● Electing to participate in RTR’s employee stock purchase plan or purchases of RTR stock under the plan. However, the trading restrictions do apply to any sales of RTR stock under the plan. ● Changes in the number of securities held as a result of a stock split or stock dividend applying equally to all securities of the same class, or similar transaction. ● Changing the form of your RTR stock ownership such as transferring RTR stock to a trust that you control for estate planning purposes, but not acquiring or disposing of any shares of stock. Because of the potential SEC reporting requirements, pre-clearance is required for directors and RTR officers who are subject to the SEC’s Section 16 reporting rules. ● Gifting RTR stock. Gifts may be permissible during closed window periods. If you are required to pre-clear trades under this Policy, gifts require pre-clearance. Gifts are not permitted if you know or have reason to believe the recipient intends to sell the shares while you are in possession of material non-public information about RTR. In addition, you cannot use a gift to conduct a transaction that otherwise would be prohibited under this Policy and immediate family members are also subject to this Policy. When you leave RTR If you leave RTR during an open trading window, the trading restrictions in this Policy apply until you no longer possess material, non-public information. For corporate, operations management, cx management employees and directors, if you leave RTR when the trading window is closed, the trading restrictions in this Policy will remain in effect until the later of: ● The next open trading window following your end date with RTR; or ● Until you no longer possess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Your Responsibilities You are responsible for reading, understanding and complying with this Policy and related laws and helping your immediate family members and others listed above comply too. You should use your best judgment and always reach out to the Chief Legal &amp; Administrative Officer or another member of the Legal Department with questions. It is also your responsibility to help enforce this Policy. Please report potential violations by any of the following methods: ● Discussing the situation with your manager; or ● If your manager is involved in the situation or you are uncomfortable speaking with your manager, contacting your HRBP, a member of the Legal team, or the Chief Legal &amp; Administrative Officer; or ● If you do not believe your concern is being adequately addressed, or you are not comfortable speaking with one of the contacts above, you may report your concern via RTR’s whistleblower hotline, which allows anonymous reporting 24 hours a day, 7 days a week, by (1) calling RTR’s toll-free hotline, at 833-660-0020 in the U.S. (800-216-1288 for Spanish) or 1-800-948-326 in Ireland, or (2) emailing reports@lighthouse-services.com (must include company name with report). We take our non-retaliatory culture very seriously and will not allow anyone to take adverse action, threaten, intimidate, or retaliate if you report a violation or suspected violation in good faith, or cooperate in an investigation. We consider retaliation itself a violation of this Policy and will respond accordingly. Think About the Consequences A breach of the insider trading laws could expose an insider or anyone who trades on information provided by an insider to criminal fines and imprisonment, in addition to civil penalties and injunctive actions. Even if allegations of insider trading do not lead to a conviction, defending against allegations is expensive. In addition, the mere perception that an insider traded with the knowledge of material inside information could harm the reputation of RTR and that of the insider. Regulatory agencies such as the U.S. Securities and Exchange Commission use sophisticated electronic surveillance techniques to investigate and detect insider trading, and pursue insider trading violations vigorously. In addition, if RTR reasonably concludes you have not complied with this Policy, you may be subject to disciplinary action, up to and including dismissal for cause, whether or not your actions break the law. Also, your trades may be cancelled or reversed.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This Policy is shared with all RTR employees and members of the board of directors when they join RTR. It is also located on Inside RTR. The Chief Legal &amp; Administrative Officer may delegate the administration of this Policy to one or more members of the Legal Team. RTR reserves the right to amend, alter or terminate this Policy at any time and for any reason, subject to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APPENDIX A Trading Plans These trading plans are sometimes referred to as Rule 10b5-1 plans because Rule 10b5-1 is the relevant rule under the Securities Exchange Act of 1934, as amended (the “Exchange Act”). Rule 10b5-1 provides an affirmative defense to alleged insider trading violations if the trades were made under a trading plan that meets certain requirements. This means that if the SEC questions certain trades or even alleges insider trading violations, having a compliant Rule 10b5-1 trading plan can help. RTR recommends that you consult with your personal legal and financial advisors to discuss whether to adopt a trading plan. Although trading plans are subject to RTR review and approval, you are responsible for compliance with Rule 10b5-1 and this Policy. Checklist for Rule 10b5-1 Trading Plans The SEC rules regarding trading plans are complex even if you speak Legalese. This checklist is intended to support compliance with Rule 10b5-1 and reflect good practices. If you want to enter into a trading plan or amend or cancel an existing trading plan, it must comply with the requirements of Rule 10b5-1 and you need to follow these steps: ● For new trading plans, start with RTR’s preferred form of trading plan (reach out to Legal to be connected to the trading plan administrator). This form will give you some flexibility in how you want to structure your trading plan, but there are a few key requirements that can’t be waived: — The trading plan must have a minimum “cooling-off” period between adoption of the trading plan and the start of any transactions under the plan of: o If you are a Section 16 reporting person1, the later of (i) 90 days after adoption or (ii) two business days after filing the Form 10-K or Form 10-Q for the fiscal quarter in which the plan was adopted, up to a maximum of 120 days; or 1 For purposes of this Appendix, “Section 16 reporting persons” are persons subject to Section 16 of the Exchange Act, including directors, certain officers and the Company’s 10% stockholders.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 If you are not a Section 16 reporting person, the earliest that you can trade under your trading plan will be 30 days after the date of adoption. — Your trading plan must have a minimum term of one year and a maximum term of two years. — Your trading plan needs to specify (i) the amount, pricing, and timing or (ii) otherwise provide a clear formula for determining the amount, pricing, and timing for any transactions in order to comply with SEC regulations. That said, the criteria you establish in the plan can take many forms. Here are a few examples: o Exercise 100 stock options at the market price on the 15th day of the month o Sell 100 shares of RTR stock only if the stock price is over a certain dollar amount on the 5th day of each month for a year ● RTR’s equity plan administrator, unless otherwise approved by the Chief Legal &amp; Administrative Officer, will administer your trading plan. ● Make sure that there is no quarterly, special or other trading blackout in effect when you adopt the plan. You can only adopt a trading plan or amend an existing trading plan during an open trading window and when you do not have MNPI. ● Certify that you are not aware of any MNPI and are adopting the trading plan or making changes to your existing trading plan in good faith and not as part of a plan or scheme to evade the prohibitions of Rule 10b-5. You must act in good faith with respect to a trading plan when it is adopted and for the duration of the trading plan. ● Making changes to an existing plan (including early cancellation) is strongly discouraged. If you make changes to the amount, price, or timing of the purchase or sale of securities underlying a trading plan, it is considered a termination of the trading plan and the adoption of a new trading plan, triggering a new cooling-off period (as described above). ● RTR reserves the right from time to time to suspend, discontinue or otherwise prohibit any transaction in RTR securities, even pursuant to a previously approved Trading Plan, if Legal, in its discretion, determines that a suspension, discontinuation or other prohibition is in the best interests of RTR. Any trading plan submitted for approval should explicitly acknowledge RTR’s right to prohibit transactions in RTR’s securities. ● Before finalizing a trading plan or any proposed changes to an existing plan, submit it to Legal for review and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 Once you’ve received the okay from Legal, sign the trading plan and send it to the trading plan administrator. Other Important Requirements for Rule 10b5-1 Trading Plans ● You are permitted to have only one plan in place at a time, except under the limited circumstances permitted by Rule 10b5-1 and subject to pre-approval by the Chief Legal &amp; Administrative Officer. ● In any 12-month period, you are limited to one “single-trade plan” (i.e., one designed to effect the open market transactions subject to the plan as a single transaction), except under the limited circumstances permitted by Rule 10b5-1 and subject to pre- approval by the Chief Legal &amp; Administrative Officer. ● Information about your trading plan may be publicly disclosed pursuant to applicable SEC regulations or in RTR’s sole discretion. ● All transactions under the trading plan must be expected to comply with the law.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List of Subsidiaries of Rent the Runway, Inc.</w:t>
      </w:r>
    </w:p>
    <w:p>
      <w:pPr>
        <w:pStyle w:val="TextBody"/>
        <w:bidi w:val="0"/>
        <w:spacing w:before="0" w:after="0"/>
        <w:jc w:val="center"/>
        <w:rPr/>
      </w:pPr>
      <w:r>
        <w:rPr/>
      </w:r>
    </w:p>
    <w:tbl>
      <w:tblPr>
        <w:tblW w:w="5381" w:type="dxa"/>
        <w:jc w:val="left"/>
        <w:tblInd w:w="0" w:type="dxa"/>
        <w:tblLayout w:type="fixed"/>
        <w:tblCellMar>
          <w:top w:w="28" w:type="dxa"/>
          <w:left w:w="28" w:type="dxa"/>
          <w:bottom w:w="28" w:type="dxa"/>
          <w:right w:w="28" w:type="dxa"/>
        </w:tblCellMar>
      </w:tblPr>
      <w:tblGrid>
        <w:gridCol w:w="831"/>
        <w:gridCol w:w="730"/>
        <w:gridCol w:w="733"/>
        <w:gridCol w:w="109"/>
        <w:gridCol w:w="109"/>
        <w:gridCol w:w="109"/>
        <w:gridCol w:w="807"/>
        <w:gridCol w:w="807"/>
        <w:gridCol w:w="1146"/>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Jurisdiction of Organization</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 the Runway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Ireland</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S-8 (Nos. 333-260564, 333-264295, 333-271241, and 333-278623) of Rent the Runway, Inc. of our report dated April 15, 2025 relating to the financial statements, which appears in this Form 10-K.</w:t>
      </w:r>
    </w:p>
    <w:p>
      <w:pPr>
        <w:pStyle w:val="TextBody"/>
        <w:bidi w:val="0"/>
        <w:spacing w:lineRule="auto" w:line="240" w:before="240" w:after="283"/>
        <w:jc w:val="left"/>
        <w:rPr>
          <w:rFonts w:ascii="Georgia;serif" w:hAnsi="Georgia;serif"/>
          <w:b w:val="false"/>
          <w:color w:val="000000"/>
          <w:sz w:val="20"/>
        </w:rPr>
      </w:pPr>
      <w:r>
        <w:rPr>
          <w:rFonts w:ascii="Georgia;serif" w:hAnsi="Georgia;serif"/>
          <w:b w:val="false"/>
          <w:color w:val="000000"/>
          <w:sz w:val="20"/>
        </w:rPr>
        <w:t>/s/ PricewaterhouseCoopers LLP</w:t>
        <w:br/>
        <w:t xml:space="preserve">New York, New York </w:t>
        <w:br/>
        <w:t>April 15,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Jennifer Y. Hyman,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Annual Report on Form 10-K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39"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62"/>
        <w:gridCol w:w="662"/>
        <w:gridCol w:w="940"/>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Siddharth Thacker,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Annual Report on Form 10-K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94"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48"/>
        <w:gridCol w:w="648"/>
        <w:gridCol w:w="92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 Jennifer Y. Hyman, the Chief Executive Officer of Rent the Runway, Inc., certify, pursuant to 18 U.S.C. Section 1350, as adopted pursuant to Section 906 of the Sarbanes-Oxley Act of 2002, that the Annual Report on Form 10-K of Rent the Runway, Inc. for the period ended January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Rent the Runway, Inc.</w:t>
      </w:r>
      <w:r>
        <w:rPr>
          <w:color w:val="000000"/>
        </w:rPr>
        <w:t xml:space="preserve"> </w:t>
      </w:r>
    </w:p>
    <w:p>
      <w:pPr>
        <w:pStyle w:val="TextBody"/>
        <w:bidi w:val="0"/>
        <w:spacing w:before="0" w:after="0"/>
        <w:jc w:val="left"/>
        <w:rPr/>
      </w:pPr>
      <w:r>
        <w:rPr/>
      </w:r>
    </w:p>
    <w:p>
      <w:pPr>
        <w:pStyle w:val="TextBody"/>
        <w:bidi w:val="0"/>
        <w:spacing w:before="0" w:after="0"/>
        <w:jc w:val="left"/>
        <w:rPr/>
      </w:pPr>
      <w:r>
        <w:rPr/>
      </w:r>
    </w:p>
    <w:tbl>
      <w:tblPr>
        <w:tblW w:w="4839"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62"/>
        <w:gridCol w:w="662"/>
        <w:gridCol w:w="940"/>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 Siddharth Thacker, the Chief Financial Officer of Rent the Runway, Inc., certify, pursuant to 18 U.S.C. Section 1350, as adopted pursuant to Section 906 of the Sarbanes-Oxley Act of 2002, that the Annual Report on Form 10-K of Rent the Runway, Inc. for the period ended January 31, 2025, fully complies with the requirements of Section 13(a) or 15(d) of the Securities Exchange Act of 1934, as amended, and that the information contained in such Annual Report on Form 10-K fairly presents, in all material respects, the financial condition and results of operations of Rent the Runway, Inc.</w:t>
      </w:r>
      <w:r>
        <w:rPr>
          <w:color w:val="000000"/>
        </w:rPr>
        <w:t xml:space="preserve"> </w:t>
      </w:r>
    </w:p>
    <w:p>
      <w:pPr>
        <w:pStyle w:val="TextBody"/>
        <w:bidi w:val="0"/>
        <w:spacing w:before="0" w:after="0"/>
        <w:jc w:val="left"/>
        <w:rPr/>
      </w:pPr>
      <w:r>
        <w:rPr/>
      </w:r>
    </w:p>
    <w:p>
      <w:pPr>
        <w:pStyle w:val="TextBody"/>
        <w:bidi w:val="0"/>
        <w:spacing w:before="0" w:after="0"/>
        <w:jc w:val="left"/>
        <w:rPr/>
      </w:pPr>
      <w:r>
        <w:rPr/>
      </w:r>
    </w:p>
    <w:tbl>
      <w:tblPr>
        <w:tblW w:w="4794"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48"/>
        <w:gridCol w:w="648"/>
        <w:gridCol w:w="92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68327/000119312521313321/d211519dex31.htm" TargetMode="External"/><Relationship Id="rId5" Type="http://schemas.openxmlformats.org/officeDocument/2006/relationships/hyperlink" Target="https://www.sec.gov/Archives/edgar/data/1468327/000146832724000100/exhibit31certificateofam.htm" TargetMode="External"/><Relationship Id="rId6" Type="http://schemas.openxmlformats.org/officeDocument/2006/relationships/hyperlink" Target="https://www.sec.gov/Archives/edgar/data/0001468327/000119312521313321/d211519dex32.htm" TargetMode="External"/><Relationship Id="rId7" Type="http://schemas.openxmlformats.org/officeDocument/2006/relationships/hyperlink" Target="https://www.sec.gov/Archives/edgar/data/0001468327/000119312521291103/d194411dex41.htm" TargetMode="External"/><Relationship Id="rId8" Type="http://schemas.openxmlformats.org/officeDocument/2006/relationships/hyperlink" Target="https://www.sec.gov/Archives/edgar/data/0001468327/000119312521291103/d194411dex42.htm" TargetMode="External"/><Relationship Id="rId9" Type="http://schemas.openxmlformats.org/officeDocument/2006/relationships/hyperlink" Target="https://www.sec.gov/Archives/edgar/data/1468327/000146832722000047/exhibit43descriptionofcapi.htm" TargetMode="External"/><Relationship Id="rId10" Type="http://schemas.openxmlformats.org/officeDocument/2006/relationships/hyperlink" Target="https://www.sec.gov/Archives/edgar/data/0001468327/000119312521301156/d194411dex102.htm" TargetMode="External"/><Relationship Id="rId11" Type="http://schemas.openxmlformats.org/officeDocument/2006/relationships/hyperlink" Target="https://www.sec.gov/Archives/edgar/data/0001468327/000119312521301156/d194411dex103.htm" TargetMode="External"/><Relationship Id="rId12" Type="http://schemas.openxmlformats.org/officeDocument/2006/relationships/hyperlink" Target="https://www.sec.gov/Archives/edgar/data/0001468327/000119312521301156/d194411dex104.htm" TargetMode="External"/><Relationship Id="rId13" Type="http://schemas.openxmlformats.org/officeDocument/2006/relationships/hyperlink" Target="https://www.sec.gov/Archives/edgar/data/0001468327/000119312521301156/d194411dex105.htm" TargetMode="External"/><Relationship Id="rId14" Type="http://schemas.openxmlformats.org/officeDocument/2006/relationships/hyperlink" Target="https://www.sec.gov/Archives/edgar/data/0001468327/000119312521301156/d194411dex106.htm" TargetMode="External"/><Relationship Id="rId15" Type="http://schemas.openxmlformats.org/officeDocument/2006/relationships/hyperlink" Target="https://www.sec.gov/Archives/edgar/data/0001468327/000119312521301156/d194411dex107.htm" TargetMode="External"/><Relationship Id="rId16" Type="http://schemas.openxmlformats.org/officeDocument/2006/relationships/hyperlink" Target="https://www.sec.gov/Archives/edgar/data/0001468327/000119312521301156/d194411dex108.htm" TargetMode="External"/><Relationship Id="rId17" Type="http://schemas.openxmlformats.org/officeDocument/2006/relationships/hyperlink" Target="https://www.sec.gov/Archives/edgar/data/1468327/000119312521304928/d194411dex109.htm" TargetMode="External"/><Relationship Id="rId18" Type="http://schemas.openxmlformats.org/officeDocument/2006/relationships/hyperlink" Target="https://www.sec.gov/Archives/edgar/data/1468327/000119312521301156/d194411dex1010.htm" TargetMode="External"/><Relationship Id="rId19" Type="http://schemas.openxmlformats.org/officeDocument/2006/relationships/hyperlink" Target="https://www.sec.gov/Archives/edgar/data/1468327/000119312521301156/d194411dex1011.htm" TargetMode="External"/><Relationship Id="rId20" Type="http://schemas.openxmlformats.org/officeDocument/2006/relationships/hyperlink" Target="https://www.sec.gov/Archives/edgar/data/1468327/000119312521301156/d194411dex1012.htm" TargetMode="External"/><Relationship Id="rId21" Type="http://schemas.openxmlformats.org/officeDocument/2006/relationships/hyperlink" Target="https://www.sec.gov/Archives/edgar/data/1468327/000119312521301156/d194411dex101.htm" TargetMode="External"/><Relationship Id="rId22" Type="http://schemas.openxmlformats.org/officeDocument/2006/relationships/hyperlink" Target="https://www.sec.gov/Archives/edgar/data/0001468327/000119312521304928/d194411dex1014.htm" TargetMode="External"/><Relationship Id="rId23" Type="http://schemas.openxmlformats.org/officeDocument/2006/relationships/hyperlink" Target="https://www.sec.gov/Archives/edgar/data/1468327/000119312521301156/d194411dex1015.htm" TargetMode="External"/><Relationship Id="rId24" Type="http://schemas.openxmlformats.org/officeDocument/2006/relationships/hyperlink" Target="https://www.sec.gov/Archives/edgar/data/1468327/000146832722000073/exhibit101jhemploymentagre.htm" TargetMode="External"/><Relationship Id="rId25" Type="http://schemas.openxmlformats.org/officeDocument/2006/relationships/hyperlink" Target="https://www.sec.gov/Archives/edgar/data/1468327/000119312521301156/d194411dex1020.htm" TargetMode="External"/><Relationship Id="rId26" Type="http://schemas.openxmlformats.org/officeDocument/2006/relationships/hyperlink" Target="https://www.sec.gov/Archives/edgar/data/0001468327/000119312521313321/d211519dex101.htm" TargetMode="External"/><Relationship Id="rId27" Type="http://schemas.openxmlformats.org/officeDocument/2006/relationships/hyperlink" Target="https://www.sec.gov/Archives/edgar/data/0001468327/000119312521291103/d194411dex1021.htm" TargetMode="External"/><Relationship Id="rId28" Type="http://schemas.openxmlformats.org/officeDocument/2006/relationships/hyperlink" Target="https://www.sec.gov/Archives/edgar/data/0001468327/000119312521291103/d194411dex1021.htm" TargetMode="External"/><Relationship Id="rId29" Type="http://schemas.openxmlformats.org/officeDocument/2006/relationships/hyperlink" Target="https://www.sec.gov/Archives/edgar/data/0001468327/000119312521291103/d194411dex1021.htm" TargetMode="External"/><Relationship Id="rId30" Type="http://schemas.openxmlformats.org/officeDocument/2006/relationships/hyperlink" Target="https://www.sec.gov/Archives/edgar/data/1468327/000119312521291103/d194411dex1023.htm" TargetMode="External"/><Relationship Id="rId31" Type="http://schemas.openxmlformats.org/officeDocument/2006/relationships/hyperlink" Target="https://www.sec.gov/Archives/edgar/data/1468327/000119312521291103/d194411dex1023.htm" TargetMode="External"/><Relationship Id="rId32" Type="http://schemas.openxmlformats.org/officeDocument/2006/relationships/hyperlink" Target="https://www.sec.gov/Archives/edgar/data/1468327/000119312521291103/d194411dex1024.htm" TargetMode="External"/><Relationship Id="rId33" Type="http://schemas.openxmlformats.org/officeDocument/2006/relationships/hyperlink" Target="https://www.sec.gov/Archives/edgar/data/1468327/000146832722000047/exhibit102710jaylease2ndam.htm" TargetMode="External"/><Relationship Id="rId34" Type="http://schemas.openxmlformats.org/officeDocument/2006/relationships/hyperlink" Target="https://www.sec.gov/Archives/edgar/data/1468327/000146832722000115/rtr-eighthamendmentfully.htm" TargetMode="External"/><Relationship Id="rId35" Type="http://schemas.openxmlformats.org/officeDocument/2006/relationships/hyperlink" Target="https://www.sec.gov/Archives/edgar/data/1468327/000146832723000051/rtr10-kxexhibit103.htm" TargetMode="External"/><Relationship Id="rId36" Type="http://schemas.openxmlformats.org/officeDocument/2006/relationships/hyperlink" Target="https://www.sec.gov/Archives/edgar/data/1468327/000146832724000114/rent-amendmenttocreditag.htm" TargetMode="External"/><Relationship Id="rId37" Type="http://schemas.openxmlformats.org/officeDocument/2006/relationships/hyperlink" Target="https://www.sec.gov/Archives/edgar/data/1468327/000146832723000341/formofexecretentionbonus.htm" TargetMode="External"/><Relationship Id="rId38" Type="http://schemas.openxmlformats.org/officeDocument/2006/relationships/hyperlink" Target="https://www.sec.gov/Archives/edgar/data/1468327/000146832723000047/rtr-offerletteramendment.htm" TargetMode="External"/><Relationship Id="rId39" Type="http://schemas.openxmlformats.org/officeDocument/2006/relationships/hyperlink" Target="https://www.sec.gov/Archives/edgar/data/1468327/000146832724000114/thirdleasemodewr1.htm" TargetMode="External"/><Relationship Id="rId40" Type="http://schemas.openxmlformats.org/officeDocument/2006/relationships/hyperlink" Target="https://www.sec.gov/Archives/edgar/data/1468327/000146832724000114/severanceplanjan2024.htm" TargetMode="External"/><Relationship Id="rId41" Type="http://schemas.openxmlformats.org/officeDocument/2006/relationships/hyperlink" Target="https://www.sec.gov/Archives/edgar/data/1468327/000146832724000160/rtr-transactionbonusplan.htm" TargetMode="External"/><Relationship Id="rId42" Type="http://schemas.openxmlformats.org/officeDocument/2006/relationships/hyperlink" Target="https://www.sec.gov/Archives/edgar/data/1468327/000146832724000160/rtr-transactionbonusplan.htm" TargetMode="External"/><Relationship Id="rId43" Type="http://schemas.openxmlformats.org/officeDocument/2006/relationships/hyperlink" Target="https://www.sec.gov/Archives/edgar/data/1468327/000146832724000160/rtr-transactionbonusplan.htm" TargetMode="External"/><Relationship Id="rId44" Type="http://schemas.openxmlformats.org/officeDocument/2006/relationships/hyperlink" Target="https://www.sec.gov/Archives/edgar/data/1468327/000146832724000160/rtr-transactionbonusplan.htm" TargetMode="External"/><Relationship Id="rId45" Type="http://schemas.openxmlformats.org/officeDocument/2006/relationships/hyperlink" Target="https://www.sec.gov/ix?doc=/Archives/edgar/data/0001468327/000146832724000114/wdq-20240131.htm" TargetMode="External"/><Relationship Id="rId46" Type="http://schemas.openxmlformats.org/officeDocument/2006/relationships/image" Target="media/image3.jpeg"/><Relationship Id="rId47" Type="http://schemas.openxmlformats.org/officeDocument/2006/relationships/image" Target="media/image4.jpeg"/><Relationship Id="rId48" Type="http://schemas.openxmlformats.org/officeDocument/2006/relationships/image" Target="media/image5.jpeg"/><Relationship Id="rId49" Type="http://schemas.openxmlformats.org/officeDocument/2006/relationships/image" Target="media/image6.jpeg"/><Relationship Id="rId50" Type="http://schemas.openxmlformats.org/officeDocument/2006/relationships/image" Target="media/image7.jpeg"/><Relationship Id="rId51" Type="http://schemas.openxmlformats.org/officeDocument/2006/relationships/image" Target="media/image8.jpeg"/><Relationship Id="rId52" Type="http://schemas.openxmlformats.org/officeDocument/2006/relationships/image" Target="media/image9.jpeg"/><Relationship Id="rId53" Type="http://schemas.openxmlformats.org/officeDocument/2006/relationships/image" Target="media/image10.jpeg"/><Relationship Id="rId54" Type="http://schemas.openxmlformats.org/officeDocument/2006/relationships/image" Target="media/image11.jpeg"/><Relationship Id="rId55" Type="http://schemas.openxmlformats.org/officeDocument/2006/relationships/image" Target="media/image12.jpeg"/><Relationship Id="rId56" Type="http://schemas.openxmlformats.org/officeDocument/2006/relationships/image" Target="media/image13.jpeg"/><Relationship Id="rId57" Type="http://schemas.openxmlformats.org/officeDocument/2006/relationships/image" Target="media/image14.jpeg"/><Relationship Id="rId58" Type="http://schemas.openxmlformats.org/officeDocument/2006/relationships/image" Target="media/image15.jpeg"/><Relationship Id="rId59" Type="http://schemas.openxmlformats.org/officeDocument/2006/relationships/image" Target="media/image16.jpeg"/><Relationship Id="rId60" Type="http://schemas.openxmlformats.org/officeDocument/2006/relationships/image" Target="media/image17.jpeg"/><Relationship Id="rId61" Type="http://schemas.openxmlformats.org/officeDocument/2006/relationships/image" Target="media/image18.jpeg"/><Relationship Id="rId62" Type="http://schemas.openxmlformats.org/officeDocument/2006/relationships/image" Target="media/image19.jpeg"/><Relationship Id="rId63" Type="http://schemas.openxmlformats.org/officeDocument/2006/relationships/image" Target="media/image20.jpeg"/><Relationship Id="rId64" Type="http://schemas.openxmlformats.org/officeDocument/2006/relationships/image" Target="media/image21.jpeg"/><Relationship Id="rId65" Type="http://schemas.openxmlformats.org/officeDocument/2006/relationships/image" Target="media/image22.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79546</Words>
  <Characters>440716</Characters>
  <CharactersWithSpaces>517868</CharactersWithSpaces>
  <Paragraphs>3498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rtrinsidertradingpolicy</dc:title>
</cp:coreProperties>
</file>