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160" w:right="3520" w:hanging="4136"/>
        <w:spacing w:after="0" w:line="429" w:lineRule="auto"/>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July 31, 2025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53"/>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7"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spacing w:after="0" w:line="176" w:lineRule="exact"/>
        <w:tabs>
          <w:tab w:leader="none" w:pos="724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3,941,332 shares of Class A common stock and 155,699 shares of Class B common stock as of August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380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562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16" w:lineRule="exact"/>
        <w:rPr>
          <w:sz w:val="20"/>
          <w:szCs w:val="20"/>
          <w:color w:val="auto"/>
        </w:rPr>
      </w:pPr>
    </w:p>
    <w:p>
      <w:pPr>
        <w:jc w:val="both"/>
        <w:ind w:left="520" w:hanging="260"/>
        <w:spacing w:after="0" w:line="243"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color w:val="auto"/>
        </w:rPr>
        <w:t>If our stockholders fail to approve the required proposals to consummate the Recapitalization Transactions, the Exchange Agreement will be terminated in accordance with its terms, we will not be able to enter into the New Credit Agreement, and we may default on our 2025 Amended Facility, which would have a material adverse effect on our business, financial condition and results of operations.</w:t>
      </w:r>
    </w:p>
    <w:p>
      <w:pPr>
        <w:spacing w:after="0" w:line="17" w:lineRule="exact"/>
        <w:rPr>
          <w:rFonts w:ascii="Arial" w:cs="Arial" w:eastAsia="Arial" w:hAnsi="Arial"/>
          <w:sz w:val="17"/>
          <w:szCs w:val="17"/>
          <w:color w:val="auto"/>
        </w:rPr>
      </w:pPr>
    </w:p>
    <w:p>
      <w:pPr>
        <w:ind w:left="520" w:right="220" w:hanging="260"/>
        <w:spacing w:after="0" w:line="239" w:lineRule="auto"/>
        <w:tabs>
          <w:tab w:leader="none" w:pos="516" w:val="left"/>
        </w:tabs>
        <w:numPr>
          <w:ilvl w:val="0"/>
          <w:numId w:val="3"/>
        </w:numPr>
        <w:rPr>
          <w:rFonts w:ascii="Times New Roman" w:cs="Times New Roman" w:eastAsia="Times New Roman" w:hAnsi="Times New Roman"/>
          <w:sz w:val="17"/>
          <w:szCs w:val="17"/>
          <w:color w:val="auto"/>
        </w:rPr>
      </w:pPr>
      <w:r>
        <w:rPr>
          <w:rFonts w:ascii="Arial" w:cs="Arial" w:eastAsia="Arial" w:hAnsi="Arial"/>
          <w:sz w:val="14"/>
          <w:szCs w:val="14"/>
          <w:color w:val="auto"/>
        </w:rPr>
        <w:t>If the Required Proposals are approved, we will issue a significant number of Exchange Stock pursuant to the Exchange Transactions and the Rights Offering Backstop Agreement, which will result in immediate and substantial dilution to our stockholders.</w:t>
      </w:r>
    </w:p>
    <w:p>
      <w:pPr>
        <w:spacing w:after="0" w:line="16" w:lineRule="exact"/>
        <w:rPr>
          <w:rFonts w:ascii="Times New Roman" w:cs="Times New Roman" w:eastAsia="Times New Roman" w:hAnsi="Times New Roman"/>
          <w:sz w:val="17"/>
          <w:szCs w:val="17"/>
          <w:color w:val="auto"/>
        </w:rPr>
      </w:pPr>
    </w:p>
    <w:p>
      <w:pPr>
        <w:ind w:left="520" w:right="240" w:hanging="260"/>
        <w:spacing w:after="0" w:line="252" w:lineRule="auto"/>
        <w:tabs>
          <w:tab w:leader="none" w:pos="516" w:val="left"/>
        </w:tabs>
        <w:numPr>
          <w:ilvl w:val="0"/>
          <w:numId w:val="3"/>
        </w:numPr>
        <w:rPr>
          <w:rFonts w:ascii="Times New Roman" w:cs="Times New Roman" w:eastAsia="Times New Roman" w:hAnsi="Times New Roman"/>
          <w:sz w:val="17"/>
          <w:szCs w:val="17"/>
          <w:color w:val="auto"/>
        </w:rPr>
      </w:pPr>
      <w:r>
        <w:rPr>
          <w:rFonts w:ascii="Arial" w:cs="Arial" w:eastAsia="Arial" w:hAnsi="Arial"/>
          <w:sz w:val="14"/>
          <w:szCs w:val="14"/>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29"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drive future growth or manage our growth effectively, our brand, Company culture, and financial performance may suffer.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72"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 and developments, including global trade policies and tariffs.</w:t>
      </w:r>
    </w:p>
    <w:p>
      <w:pPr>
        <w:spacing w:after="0" w:line="3"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fluctuate based on our level of investment and success in paid marketing initiatives. If we are unable to cost-effectively grow our customer base, our business, financial condition and results of operations would be harmed.</w:t>
      </w:r>
    </w:p>
    <w:p>
      <w:pPr>
        <w:spacing w:after="0" w:line="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acquire 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61" w:lineRule="exact"/>
        <w:rPr>
          <w:rFonts w:ascii="Arial" w:cs="Arial" w:eastAsia="Arial" w:hAnsi="Arial"/>
          <w:sz w:val="14"/>
          <w:szCs w:val="14"/>
          <w:color w:val="auto"/>
        </w:rPr>
      </w:pPr>
    </w:p>
    <w:p>
      <w:pPr>
        <w:ind w:left="520" w:right="2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4"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2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72" w:lineRule="exact"/>
        <w:rPr>
          <w:rFonts w:ascii="Arial" w:cs="Arial" w:eastAsia="Arial" w:hAnsi="Arial"/>
          <w:sz w:val="14"/>
          <w:szCs w:val="14"/>
          <w:color w:val="auto"/>
        </w:rPr>
      </w:pPr>
    </w:p>
    <w:p>
      <w:pPr>
        <w:ind w:left="520" w:right="36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18" w:right="399" w:bottom="1440" w:gutter="0" w:footer="0" w:header="0"/>
        </w:sectPr>
      </w:pPr>
    </w:p>
    <w:bookmarkStart w:id="4" w:name="page5"/>
    <w:bookmarkEnd w:id="4"/>
    <w:p>
      <w:pPr>
        <w:ind w:left="520" w:right="4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the experience and expertise of our Co-Founder and Chief Executive Officer, senior management team, key technical and strategic employees and hourly personnel.</w:t>
      </w:r>
    </w:p>
    <w:p>
      <w:pPr>
        <w:spacing w:after="0" w:line="14" w:lineRule="exact"/>
        <w:rPr>
          <w:rFonts w:ascii="Arial" w:cs="Arial" w:eastAsia="Arial" w:hAnsi="Arial"/>
          <w:sz w:val="14"/>
          <w:szCs w:val="14"/>
          <w:color w:val="auto"/>
        </w:rPr>
      </w:pPr>
    </w:p>
    <w:p>
      <w:pPr>
        <w:ind w:left="520" w:right="48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adequately obtain, maintain, protect and enforce our intellectual property and proprietary rights could harm our brand, devalue our proprietary content, and adversely affect our ability to compete effectively.</w:t>
      </w:r>
    </w:p>
    <w:p>
      <w:pPr>
        <w:spacing w:after="0" w:line="3" w:lineRule="exact"/>
        <w:rPr>
          <w:rFonts w:ascii="Arial" w:cs="Arial" w:eastAsia="Arial" w:hAnsi="Arial"/>
          <w:sz w:val="14"/>
          <w:szCs w:val="14"/>
          <w:color w:val="auto"/>
        </w:rPr>
      </w:pPr>
    </w:p>
    <w:p>
      <w:pPr>
        <w:ind w:left="520" w:right="14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brand and manufacturing partners from whom our products are sourced or co-manufactured.</w:t>
      </w:r>
    </w:p>
    <w:p>
      <w:pPr>
        <w:spacing w:after="0" w:line="72"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3" w:lineRule="exact"/>
        <w:rPr>
          <w:rFonts w:ascii="Arial" w:cs="Arial" w:eastAsia="Arial" w:hAnsi="Arial"/>
          <w:sz w:val="14"/>
          <w:szCs w:val="14"/>
          <w:color w:val="auto"/>
        </w:rPr>
      </w:pPr>
    </w:p>
    <w:p>
      <w:pPr>
        <w:ind w:left="520" w:right="26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16"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 w:lineRule="exact"/>
        <w:rPr>
          <w:rFonts w:ascii="Arial" w:cs="Arial" w:eastAsia="Arial" w:hAnsi="Arial"/>
          <w:sz w:val="14"/>
          <w:szCs w:val="14"/>
          <w:color w:val="auto"/>
        </w:rPr>
      </w:pPr>
    </w:p>
    <w:p>
      <w:pPr>
        <w:ind w:left="520" w:right="40" w:hanging="260"/>
        <w:spacing w:after="0" w:line="27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14"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1" w:lineRule="exact"/>
        <w:rPr>
          <w:rFonts w:ascii="Arial" w:cs="Arial" w:eastAsia="Arial" w:hAnsi="Arial"/>
          <w:sz w:val="14"/>
          <w:szCs w:val="14"/>
          <w:color w:val="auto"/>
        </w:rPr>
      </w:pPr>
    </w:p>
    <w:p>
      <w:pPr>
        <w:ind w:left="520" w:right="58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had a material adverse impact on our business. Other future pandemics or public health crises may have a similar adverse impact on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the timing, completion and anticipated benefits of the Recapitalization Transactions and the Rights Offering, the ability to</w:t>
      </w:r>
    </w:p>
    <w:p>
      <w:pPr>
        <w:spacing w:after="0" w:line="3" w:lineRule="exact"/>
        <w:rPr>
          <w:sz w:val="20"/>
          <w:szCs w:val="20"/>
          <w:color w:val="auto"/>
        </w:rPr>
      </w:pPr>
    </w:p>
    <w:p>
      <w:pPr>
        <w:jc w:val="both"/>
        <w:ind w:right="40"/>
        <w:spacing w:after="0" w:line="229" w:lineRule="auto"/>
        <w:rPr>
          <w:sz w:val="20"/>
          <w:szCs w:val="20"/>
          <w:color w:val="auto"/>
        </w:rPr>
      </w:pPr>
      <w:r>
        <w:rPr>
          <w:rFonts w:ascii="Arial" w:cs="Arial" w:eastAsia="Arial" w:hAnsi="Arial"/>
          <w:sz w:val="14"/>
          <w:szCs w:val="14"/>
          <w:color w:val="auto"/>
        </w:rPr>
        <w:t>obtain stockholder approval, the impact of the Recapitalization Transactions and future investments on our business, our future results of operations and financial position, industry and business trends, share-based compensation, business strategy and initiatives, including rental product depth and availability initiatives, sustainability initiatives, business plans,</w:t>
      </w:r>
    </w:p>
    <w:p>
      <w:pPr>
        <w:spacing w:after="0" w:line="253" w:lineRule="auto"/>
        <w:rPr>
          <w:sz w:val="20"/>
          <w:szCs w:val="20"/>
          <w:color w:val="auto"/>
        </w:rPr>
      </w:pPr>
      <w:r>
        <w:rPr>
          <w:rFonts w:ascii="Arial" w:cs="Arial" w:eastAsia="Arial" w:hAnsi="Arial"/>
          <w:sz w:val="14"/>
          <w:szCs w:val="14"/>
          <w:color w:val="auto"/>
        </w:rPr>
        <w:t>promotional and marketing strategy, impacts from our cost-savings initiatives, anticipated future expenditures, product acquisition expectations, compliance with our debt covenants, market growth and our objectives for future operations.</w:t>
      </w:r>
    </w:p>
    <w:p>
      <w:pPr>
        <w:spacing w:after="0" w:line="6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July 31, 2025.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8"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60" w:type="dxa"/>
            <w:vAlign w:val="bottom"/>
            <w:gridSpan w:val="5"/>
          </w:tcPr>
          <w:p>
            <w:pPr>
              <w:ind w:left="7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3"/>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0180" w:type="dxa"/>
            <w:vAlign w:val="bottom"/>
            <w:gridSpan w:val="22"/>
            <w:vMerge w:val="restart"/>
          </w:tcPr>
          <w:p>
            <w:pPr>
              <w:spacing w:after="0"/>
              <w:rPr>
                <w:sz w:val="20"/>
                <w:szCs w:val="20"/>
                <w:color w:val="auto"/>
              </w:rPr>
            </w:pPr>
            <w:r>
              <w:rPr>
                <w:rFonts w:ascii="Arial" w:cs="Arial" w:eastAsia="Arial" w:hAnsi="Arial"/>
                <w:sz w:val="14"/>
                <w:szCs w:val="14"/>
                <w:color w:val="0000FF"/>
              </w:rPr>
              <w:t>Condensed Consolidated Balance Sheets - Unaudited as of July 31, 2025 and Audited as of January 31, 2025</w:t>
            </w: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180" w:type="dxa"/>
            <w:vAlign w:val="bottom"/>
            <w:gridSpan w:val="22"/>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74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rPr>
              <w:t>Condensed Consolidated Statements of Operations - Unaudited for the three and six months ended July 31, 2025 and 2024</w:t>
            </w:r>
          </w:p>
        </w:tc>
        <w:tc>
          <w:tcPr>
            <w:tcW w:w="2440" w:type="dxa"/>
            <w:vAlign w:val="bottom"/>
            <w:gridSpan w:val="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Changes in Stockholders’ Equity (Deficit) - Unaudited for the three and six months ended July 31, 2025 and 2024</w:t>
            </w: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0" w:type="dxa"/>
            <w:vAlign w:val="bottom"/>
            <w:tcBorders>
              <w:top w:val="single" w:sz="8" w:color="0000FF"/>
            </w:tcBorders>
            <w:gridSpan w:val="21"/>
          </w:tcPr>
          <w:p>
            <w:pPr>
              <w:spacing w:after="0"/>
              <w:rPr>
                <w:sz w:val="20"/>
                <w:szCs w:val="20"/>
                <w:color w:val="auto"/>
              </w:rPr>
            </w:pPr>
            <w:r>
              <w:rPr>
                <w:rFonts w:ascii="Arial" w:cs="Arial" w:eastAsia="Arial" w:hAnsi="Arial"/>
                <w:sz w:val="14"/>
                <w:szCs w:val="14"/>
                <w:color w:val="0000FF"/>
              </w:rPr>
              <w:t>Condensed Consolidated Statements of Cash Flows - Unaudited for the six months ended July 31, 2025 and 2024</w:t>
            </w:r>
          </w:p>
        </w:tc>
        <w:tc>
          <w:tcPr>
            <w:tcW w:w="5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Borders>
              <w:top w:val="single" w:sz="8" w:color="0000FF"/>
            </w:tcBorders>
            <w:gridSpan w:val="19"/>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304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7"/>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1"/>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224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Restructuring and Related Charges</w:t>
            </w:r>
          </w:p>
        </w:tc>
        <w:tc>
          <w:tcPr>
            <w:tcW w:w="772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800" w:type="dxa"/>
            <w:vAlign w:val="bottom"/>
            <w:tcBorders>
              <w:bottom w:val="single" w:sz="8" w:color="0000FF"/>
            </w:tcBorders>
            <w:gridSpan w:val="9"/>
          </w:tcPr>
          <w:p>
            <w:pPr>
              <w:ind w:left="20"/>
              <w:spacing w:after="0"/>
              <w:rPr>
                <w:sz w:val="20"/>
                <w:szCs w:val="20"/>
                <w:color w:val="auto"/>
              </w:rPr>
            </w:pPr>
            <w:r>
              <w:rPr>
                <w:rFonts w:ascii="Arial" w:cs="Arial" w:eastAsia="Arial" w:hAnsi="Arial"/>
                <w:sz w:val="14"/>
                <w:szCs w:val="14"/>
                <w:color w:val="0000FF"/>
              </w:rPr>
              <w:t>Leases - Lessee Accounting</w:t>
            </w:r>
          </w:p>
        </w:tc>
        <w:tc>
          <w:tcPr>
            <w:tcW w:w="816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32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Rental Product, Net</w:t>
            </w:r>
          </w:p>
        </w:tc>
        <w:tc>
          <w:tcPr>
            <w:tcW w:w="8640" w:type="dxa"/>
            <w:vAlign w:val="bottom"/>
            <w:gridSpan w:val="14"/>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300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96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4"/>
                <w:szCs w:val="14"/>
                <w:color w:val="0000FF"/>
                <w:w w:val="99"/>
              </w:rPr>
              <w:t>11. Stockholders’ Equity</w:t>
            </w:r>
          </w:p>
        </w:tc>
        <w:tc>
          <w:tcPr>
            <w:tcW w:w="320" w:type="dxa"/>
            <w:vAlign w:val="bottom"/>
            <w:tcBorders>
              <w:top w:val="single" w:sz="8" w:color="0000FF"/>
            </w:tcBorders>
          </w:tcPr>
          <w:p>
            <w:pPr>
              <w:spacing w:after="0"/>
              <w:rPr>
                <w:sz w:val="13"/>
                <w:szCs w:val="13"/>
                <w:color w:val="auto"/>
              </w:rPr>
            </w:pPr>
          </w:p>
        </w:tc>
        <w:tc>
          <w:tcPr>
            <w:tcW w:w="8260" w:type="dxa"/>
            <w:vAlign w:val="bottom"/>
            <w:gridSpan w:val="1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218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Share-based Compensation Plans</w:t>
            </w:r>
          </w:p>
        </w:tc>
        <w:tc>
          <w:tcPr>
            <w:tcW w:w="770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362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62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2100" w:type="dxa"/>
            <w:vAlign w:val="bottom"/>
            <w:tcBorders>
              <w:top w:val="single" w:sz="8" w:color="0000FF"/>
            </w:tcBorders>
            <w:gridSpan w:val="9"/>
          </w:tcPr>
          <w:p>
            <w:pPr>
              <w:ind w:left="20"/>
              <w:spacing w:after="0"/>
              <w:rPr>
                <w:sz w:val="20"/>
                <w:szCs w:val="20"/>
                <w:color w:val="auto"/>
              </w:rPr>
            </w:pPr>
            <w:r>
              <w:rPr>
                <w:rFonts w:ascii="Arial" w:cs="Arial" w:eastAsia="Arial" w:hAnsi="Arial"/>
                <w:sz w:val="14"/>
                <w:szCs w:val="14"/>
                <w:color w:val="0000FF"/>
              </w:rPr>
              <w:t>Subsequent Events</w:t>
            </w:r>
          </w:p>
        </w:tc>
        <w:tc>
          <w:tcPr>
            <w:tcW w:w="7780" w:type="dxa"/>
            <w:vAlign w:val="bottom"/>
            <w:gridSpan w:val="10"/>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July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76"/>
        </w:trPr>
        <w:tc>
          <w:tcPr>
            <w:tcW w:w="836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63.3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93.9</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86.7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219.0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00" w:type="dxa"/>
            <w:vAlign w:val="bottom"/>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343.9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333.7</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451.1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52"/>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14)</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36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July 31, 2025 and January 31, 2025; 3,899,124 and 3,761,469 shares issued and</w:t>
            </w:r>
          </w:p>
        </w:tc>
        <w:tc>
          <w:tcPr>
            <w:tcW w:w="1000" w:type="dxa"/>
            <w:vAlign w:val="bottom"/>
          </w:tcPr>
          <w:p>
            <w:pPr>
              <w:spacing w:after="0"/>
              <w:rPr>
                <w:sz w:val="10"/>
                <w:szCs w:val="10"/>
                <w:color w:val="auto"/>
              </w:rPr>
            </w:pPr>
          </w:p>
        </w:tc>
        <w:tc>
          <w:tcPr>
            <w:tcW w:w="50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360" w:type="dxa"/>
            <w:vAlign w:val="bottom"/>
          </w:tcPr>
          <w:p>
            <w:pPr>
              <w:ind w:left="400"/>
              <w:spacing w:after="0"/>
              <w:rPr>
                <w:sz w:val="20"/>
                <w:szCs w:val="20"/>
                <w:color w:val="auto"/>
              </w:rPr>
            </w:pPr>
            <w:r>
              <w:rPr>
                <w:rFonts w:ascii="Arial" w:cs="Arial" w:eastAsia="Arial" w:hAnsi="Arial"/>
                <w:sz w:val="11"/>
                <w:szCs w:val="11"/>
                <w:color w:val="auto"/>
              </w:rPr>
              <w:t>outstanding as of July 31, 2025 and January 31, 2025, respectively</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1" w:lineRule="exact"/>
        <w:rPr>
          <w:sz w:val="20"/>
          <w:szCs w:val="20"/>
          <w:color w:val="auto"/>
        </w:rPr>
      </w:pPr>
    </w:p>
    <w:p>
      <w:pPr>
        <w:ind w:left="400" w:right="500" w:hanging="126"/>
        <w:spacing w:after="0" w:line="242" w:lineRule="auto"/>
        <w:rPr>
          <w:sz w:val="20"/>
          <w:szCs w:val="20"/>
          <w:color w:val="auto"/>
        </w:rPr>
      </w:pPr>
      <w:r>
        <w:rPr>
          <w:rFonts w:ascii="Arial" w:cs="Arial" w:eastAsia="Arial" w:hAnsi="Arial"/>
          <w:sz w:val="11"/>
          <w:szCs w:val="11"/>
          <w:color w:val="auto"/>
        </w:rPr>
        <w:t>Class B common stock, $0.001 par value; 50,000,000 shares authorized as of July 31, 2025 and January 31, 2025; 155,634 and 155,463 shares issued and outstanding as of July 31, 2025 and January 31, 2025, respectively</w:t>
      </w:r>
    </w:p>
    <w:p>
      <w:pPr>
        <w:spacing w:after="0" w:line="10" w:lineRule="exact"/>
        <w:rPr>
          <w:sz w:val="20"/>
          <w:szCs w:val="20"/>
          <w:color w:val="auto"/>
        </w:rPr>
      </w:pPr>
    </w:p>
    <w:p>
      <w:pPr>
        <w:ind w:left="400" w:right="300" w:hanging="126"/>
        <w:spacing w:after="0" w:line="242" w:lineRule="auto"/>
        <w:rPr>
          <w:sz w:val="20"/>
          <w:szCs w:val="20"/>
          <w:color w:val="auto"/>
        </w:rPr>
      </w:pPr>
      <w:r>
        <w:rPr>
          <w:rFonts w:ascii="Arial" w:cs="Arial" w:eastAsia="Arial" w:hAnsi="Arial"/>
          <w:sz w:val="11"/>
          <w:szCs w:val="11"/>
          <w:color w:val="auto"/>
        </w:rPr>
        <w:t>Preferred stock, $0.001 par value; 10,000,000 shares authorized as of July 31, 2025 and January 31, 2025; 0 shares issued and outstanding as of July 31, 2025 and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ind w:left="320"/>
        <w:spacing w:after="0"/>
        <w:tabs>
          <w:tab w:leader="none" w:pos="18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p>
    <w:p>
      <w:pPr>
        <w:spacing w:after="0" w:line="209" w:lineRule="exact"/>
        <w:rPr>
          <w:sz w:val="20"/>
          <w:szCs w:val="20"/>
          <w:color w:val="auto"/>
        </w:rPr>
      </w:pPr>
    </w:p>
    <w:p>
      <w:pPr>
        <w:ind w:left="300"/>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6"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1"/>
          <w:szCs w:val="11"/>
          <w:color w:val="auto"/>
        </w:rPr>
        <w:t>943.4</w:t>
      </w:r>
      <w:r>
        <w:rPr>
          <w:sz w:val="20"/>
          <w:szCs w:val="20"/>
          <w:color w:val="auto"/>
        </w:rPr>
        <w:tab/>
      </w:r>
      <w:r>
        <w:rPr>
          <w:rFonts w:ascii="Arial" w:cs="Arial" w:eastAsia="Arial" w:hAnsi="Arial"/>
          <w:sz w:val="11"/>
          <w:szCs w:val="11"/>
          <w:color w:val="auto"/>
        </w:rPr>
        <w:t>940.5</w:t>
      </w:r>
    </w:p>
    <w:p>
      <w:pPr>
        <w:spacing w:after="0" w:line="54" w:lineRule="exact"/>
        <w:rPr>
          <w:sz w:val="20"/>
          <w:szCs w:val="20"/>
          <w:color w:val="auto"/>
        </w:rPr>
      </w:pPr>
    </w:p>
    <w:p>
      <w:pPr>
        <w:spacing w:after="0"/>
        <w:tabs>
          <w:tab w:leader="none" w:pos="1480" w:val="left"/>
        </w:tabs>
        <w:rPr>
          <w:sz w:val="20"/>
          <w:szCs w:val="20"/>
          <w:color w:val="auto"/>
        </w:rPr>
      </w:pPr>
      <w:r>
        <w:rPr>
          <w:rFonts w:ascii="Arial" w:cs="Arial" w:eastAsia="Arial" w:hAnsi="Arial"/>
          <w:sz w:val="11"/>
          <w:szCs w:val="11"/>
          <w:color w:val="auto"/>
        </w:rPr>
        <w:t>(1,175.5)</w:t>
      </w:r>
      <w:r>
        <w:rPr>
          <w:sz w:val="20"/>
          <w:szCs w:val="20"/>
          <w:color w:val="auto"/>
        </w:rPr>
        <w:tab/>
      </w:r>
      <w:r>
        <w:rPr>
          <w:rFonts w:ascii="Arial" w:cs="Arial" w:eastAsia="Arial" w:hAnsi="Arial"/>
          <w:sz w:val="11"/>
          <w:szCs w:val="11"/>
          <w:color w:val="auto"/>
        </w:rPr>
        <w:t>(1,123.0)</w:t>
      </w:r>
    </w:p>
    <w:p>
      <w:pPr>
        <w:spacing w:after="0" w:line="32" w:lineRule="exact"/>
        <w:rPr>
          <w:sz w:val="20"/>
          <w:szCs w:val="20"/>
          <w:color w:val="auto"/>
        </w:rPr>
      </w:pPr>
    </w:p>
    <w:p>
      <w:pPr>
        <w:sectPr>
          <w:pgSz w:w="11900" w:h="16838" w:orient="portrait"/>
          <w:cols w:equalWidth="0" w:num="2">
            <w:col w:w="8580" w:space="720"/>
            <w:col w:w="198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(232.1)</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w:t>
            </w:r>
          </w:p>
        </w:tc>
      </w:tr>
      <w:tr>
        <w:trPr>
          <w:trHeight w:val="180"/>
        </w:trPr>
        <w:tc>
          <w:tcPr>
            <w:tcW w:w="836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219.0</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240.0</w:t>
            </w:r>
          </w:p>
        </w:tc>
      </w:tr>
      <w:tr>
        <w:trPr>
          <w:trHeight w:val="20"/>
        </w:trPr>
        <w:tc>
          <w:tcPr>
            <w:tcW w:w="8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340"/>
              <w:spacing w:after="0"/>
              <w:rPr>
                <w:sz w:val="20"/>
                <w:szCs w:val="20"/>
                <w:color w:val="auto"/>
              </w:rPr>
            </w:pPr>
            <w:r>
              <w:rPr>
                <w:rFonts w:ascii="Arial" w:cs="Arial" w:eastAsia="Arial" w:hAnsi="Arial"/>
                <w:sz w:val="11"/>
                <w:szCs w:val="11"/>
                <w:b w:val="1"/>
                <w:bCs w:val="1"/>
                <w:color w:val="auto"/>
              </w:rPr>
              <w:t>Three Months Ended July 31,</w:t>
            </w:r>
          </w:p>
        </w:tc>
        <w:tc>
          <w:tcPr>
            <w:tcW w:w="300" w:type="dxa"/>
            <w:vAlign w:val="bottom"/>
          </w:tcPr>
          <w:p>
            <w:pPr>
              <w:spacing w:after="0"/>
              <w:rPr>
                <w:sz w:val="14"/>
                <w:szCs w:val="14"/>
                <w:color w:val="auto"/>
              </w:rPr>
            </w:pPr>
          </w:p>
        </w:tc>
        <w:tc>
          <w:tcPr>
            <w:tcW w:w="2260" w:type="dxa"/>
            <w:vAlign w:val="bottom"/>
            <w:gridSpan w:val="4"/>
          </w:tcPr>
          <w:p>
            <w:pPr>
              <w:jc w:val="right"/>
              <w:ind w:right="497"/>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66"/>
        </w:trPr>
        <w:tc>
          <w:tcPr>
            <w:tcW w:w="56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7"/>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6"/>
                <w:szCs w:val="16"/>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68.5</w:t>
            </w:r>
          </w:p>
        </w:tc>
        <w:tc>
          <w:tcPr>
            <w:tcW w:w="8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6"/>
                <w:szCs w:val="16"/>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70"/>
        </w:trPr>
        <w:tc>
          <w:tcPr>
            <w:tcW w:w="56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64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84"/>
        </w:trPr>
        <w:tc>
          <w:tcPr>
            <w:tcW w:w="564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84"/>
        </w:trPr>
        <w:tc>
          <w:tcPr>
            <w:tcW w:w="564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90"/>
        </w:trPr>
        <w:tc>
          <w:tcPr>
            <w:tcW w:w="564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3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2"/>
        </w:trPr>
        <w:tc>
          <w:tcPr>
            <w:tcW w:w="56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0" w:type="dxa"/>
            <w:vAlign w:val="bottom"/>
          </w:tcPr>
          <w:p>
            <w:pPr>
              <w:spacing w:after="0"/>
              <w:rPr>
                <w:sz w:val="1"/>
                <w:szCs w:val="1"/>
                <w:color w:val="auto"/>
              </w:rPr>
            </w:pPr>
          </w:p>
        </w:tc>
      </w:tr>
      <w:tr>
        <w:trPr>
          <w:trHeight w:val="170"/>
        </w:trPr>
        <w:tc>
          <w:tcPr>
            <w:tcW w:w="5640" w:type="dxa"/>
            <w:vAlign w:val="bottom"/>
          </w:tcPr>
          <w:p>
            <w:pPr>
              <w:ind w:left="780"/>
              <w:spacing w:after="0"/>
              <w:rPr>
                <w:sz w:val="20"/>
                <w:szCs w:val="20"/>
                <w:color w:val="auto"/>
              </w:rPr>
            </w:pPr>
            <w:r>
              <w:rPr>
                <w:rFonts w:ascii="Arial" w:cs="Arial" w:eastAsia="Arial" w:hAnsi="Arial"/>
                <w:sz w:val="13"/>
                <w:szCs w:val="13"/>
                <w:color w:val="auto"/>
              </w:rPr>
              <w:t>Operating loss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92"/>
        </w:trPr>
        <w:tc>
          <w:tcPr>
            <w:tcW w:w="5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 (expense), net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90"/>
        </w:trPr>
        <w:tc>
          <w:tcPr>
            <w:tcW w:w="56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Other income / (expense), net</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loss before income tax benefit / (expense)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84"/>
        </w:trPr>
        <w:tc>
          <w:tcPr>
            <w:tcW w:w="5640" w:type="dxa"/>
            <w:vAlign w:val="bottom"/>
          </w:tcPr>
          <w:p>
            <w:pPr>
              <w:ind w:left="20"/>
              <w:spacing w:after="0"/>
              <w:rPr>
                <w:sz w:val="20"/>
                <w:szCs w:val="20"/>
                <w:color w:val="auto"/>
              </w:rPr>
            </w:pPr>
            <w:r>
              <w:rPr>
                <w:rFonts w:ascii="Arial" w:cs="Arial" w:eastAsia="Arial" w:hAnsi="Arial"/>
                <w:sz w:val="13"/>
                <w:szCs w:val="13"/>
                <w:color w:val="auto"/>
              </w:rPr>
              <w:t>Income tax benefit / (expense)</w:t>
            </w:r>
          </w:p>
        </w:tc>
        <w:tc>
          <w:tcPr>
            <w:tcW w:w="3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92"/>
        </w:trPr>
        <w:tc>
          <w:tcPr>
            <w:tcW w:w="564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Net loss</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40" w:type="dxa"/>
            <w:vAlign w:val="bottom"/>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Weighted-average shares used in computing net loss per share attributable to common</w:t>
            </w:r>
          </w:p>
        </w:tc>
        <w:tc>
          <w:tcPr>
            <w:tcW w:w="3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4,033,571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3,736,953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4,000,887</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3,692,025</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stockholders, basic and diluted</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80" w:type="dxa"/>
            <w:vAlign w:val="bottom"/>
          </w:tcPr>
          <w:p>
            <w:pPr>
              <w:spacing w:after="0"/>
              <w:rPr>
                <w:sz w:val="7"/>
                <w:szCs w:val="7"/>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Additional</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34"/>
              <w:spacing w:after="0" w:line="85" w:lineRule="exact"/>
              <w:rPr>
                <w:sz w:val="20"/>
                <w:szCs w:val="20"/>
                <w:color w:val="auto"/>
              </w:rPr>
            </w:pPr>
            <w:r>
              <w:rPr>
                <w:rFonts w:ascii="Arial" w:cs="Arial" w:eastAsia="Arial" w:hAnsi="Arial"/>
                <w:sz w:val="8"/>
                <w:szCs w:val="8"/>
                <w:b w:val="1"/>
                <w:bCs w:val="1"/>
                <w:color w:val="auto"/>
              </w:rPr>
              <w:t>Paid-in</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ind w:left="10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980" w:type="dxa"/>
            <w:vAlign w:val="bottom"/>
            <w:vMerge w:val="restart"/>
          </w:tcPr>
          <w:p>
            <w:pPr>
              <w:jc w:val="center"/>
              <w:ind w:right="112"/>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5580" w:type="dxa"/>
            <w:vAlign w:val="bottom"/>
          </w:tcPr>
          <w:p>
            <w:pPr>
              <w:spacing w:after="0" w:line="20" w:lineRule="exact"/>
              <w:rPr>
                <w:sz w:val="1"/>
                <w:szCs w:val="1"/>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vMerge w:val="restart"/>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4"/>
              <w:spacing w:after="0"/>
              <w:rPr>
                <w:sz w:val="20"/>
                <w:szCs w:val="20"/>
                <w:color w:val="auto"/>
              </w:rPr>
            </w:pPr>
            <w:r>
              <w:rPr>
                <w:rFonts w:ascii="Arial" w:cs="Arial" w:eastAsia="Arial" w:hAnsi="Arial"/>
                <w:sz w:val="8"/>
                <w:szCs w:val="8"/>
                <w:b w:val="1"/>
                <w:bCs w:val="1"/>
                <w:color w:val="auto"/>
              </w:rPr>
              <w:t>Capital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3,981,495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942.0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(1,149.1)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(207.1)</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73,263</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4,054,758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(1,175.5)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3,675,322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933.8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(1,075.1)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(141.3)</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85,538</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(15.6)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3,760,860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5580" w:type="dxa"/>
            <w:vAlign w:val="bottom"/>
          </w:tcPr>
          <w:p>
            <w:pPr>
              <w:spacing w:after="0"/>
              <w:rPr>
                <w:sz w:val="8"/>
                <w:szCs w:val="8"/>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Additional</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center"/>
              <w:ind w:right="114"/>
              <w:spacing w:after="0"/>
              <w:rPr>
                <w:sz w:val="20"/>
                <w:szCs w:val="20"/>
                <w:color w:val="auto"/>
              </w:rPr>
            </w:pPr>
            <w:r>
              <w:rPr>
                <w:rFonts w:ascii="Arial" w:cs="Arial" w:eastAsia="Arial" w:hAnsi="Arial"/>
                <w:sz w:val="8"/>
                <w:szCs w:val="8"/>
                <w:b w:val="1"/>
                <w:bCs w:val="1"/>
                <w:color w:val="auto"/>
                <w:w w:val="93"/>
              </w:rPr>
              <w:t>Total</w:t>
            </w: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jc w:val="right"/>
              <w:ind w:right="37"/>
              <w:spacing w:after="0" w:line="43" w:lineRule="exact"/>
              <w:rPr>
                <w:sz w:val="20"/>
                <w:szCs w:val="20"/>
                <w:color w:val="auto"/>
              </w:rPr>
            </w:pPr>
            <w:r>
              <w:rPr>
                <w:rFonts w:ascii="Arial" w:cs="Arial" w:eastAsia="Arial" w:hAnsi="Arial"/>
                <w:sz w:val="4"/>
                <w:szCs w:val="4"/>
                <w:b w:val="1"/>
                <w:bCs w:val="1"/>
                <w:color w:val="auto"/>
              </w:rPr>
              <w:t>Paid-in</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tcPr>
          <w:p>
            <w:pPr>
              <w:ind w:left="100"/>
              <w:spacing w:after="0" w:line="43" w:lineRule="exact"/>
              <w:rPr>
                <w:sz w:val="20"/>
                <w:szCs w:val="20"/>
                <w:color w:val="auto"/>
              </w:rPr>
            </w:pPr>
            <w:r>
              <w:rPr>
                <w:rFonts w:ascii="Arial" w:cs="Arial" w:eastAsia="Arial" w:hAnsi="Arial"/>
                <w:sz w:val="4"/>
                <w:szCs w:val="4"/>
                <w:b w:val="1"/>
                <w:bCs w:val="1"/>
                <w:color w:val="auto"/>
              </w:rPr>
              <w:t>Accumulated</w:t>
            </w:r>
          </w:p>
        </w:tc>
        <w:tc>
          <w:tcPr>
            <w:tcW w:w="160" w:type="dxa"/>
            <w:vAlign w:val="bottom"/>
          </w:tcPr>
          <w:p>
            <w:pPr>
              <w:spacing w:after="0"/>
              <w:rPr>
                <w:sz w:val="3"/>
                <w:szCs w:val="3"/>
                <w:color w:val="auto"/>
              </w:rPr>
            </w:pPr>
          </w:p>
        </w:tc>
        <w:tc>
          <w:tcPr>
            <w:tcW w:w="980" w:type="dxa"/>
            <w:vAlign w:val="bottom"/>
          </w:tcPr>
          <w:p>
            <w:pPr>
              <w:jc w:val="center"/>
              <w:ind w:right="114"/>
              <w:spacing w:after="0" w:line="43" w:lineRule="exact"/>
              <w:rPr>
                <w:sz w:val="20"/>
                <w:szCs w:val="20"/>
                <w:color w:val="auto"/>
              </w:rPr>
            </w:pPr>
            <w:r>
              <w:rPr>
                <w:rFonts w:ascii="Arial" w:cs="Arial" w:eastAsia="Arial" w:hAnsi="Arial"/>
                <w:sz w:val="4"/>
                <w:szCs w:val="4"/>
                <w:b w:val="1"/>
                <w:bCs w:val="1"/>
                <w:color w:val="auto"/>
              </w:rPr>
              <w:t>Stockholders’</w:t>
            </w:r>
          </w:p>
        </w:tc>
      </w:tr>
      <w:tr>
        <w:trPr>
          <w:trHeight w:val="133"/>
        </w:trPr>
        <w:tc>
          <w:tcPr>
            <w:tcW w:w="5580" w:type="dxa"/>
            <w:vAlign w:val="bottom"/>
          </w:tcPr>
          <w:p>
            <w:pPr>
              <w:spacing w:after="0"/>
              <w:rPr>
                <w:sz w:val="11"/>
                <w:szCs w:val="11"/>
                <w:color w:val="auto"/>
              </w:rPr>
            </w:pPr>
          </w:p>
        </w:tc>
        <w:tc>
          <w:tcPr>
            <w:tcW w:w="1180" w:type="dxa"/>
            <w:vAlign w:val="bottom"/>
            <w:gridSpan w:val="2"/>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37"/>
              <w:spacing w:after="0"/>
              <w:rPr>
                <w:sz w:val="20"/>
                <w:szCs w:val="20"/>
                <w:color w:val="auto"/>
              </w:rPr>
            </w:pPr>
            <w:r>
              <w:rPr>
                <w:rFonts w:ascii="Arial" w:cs="Arial" w:eastAsia="Arial" w:hAnsi="Arial"/>
                <w:sz w:val="8"/>
                <w:szCs w:val="8"/>
                <w:b w:val="1"/>
                <w:bCs w:val="1"/>
                <w:color w:val="auto"/>
              </w:rPr>
              <w:t>Capital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1"/>
                <w:szCs w:val="11"/>
                <w:color w:val="auto"/>
              </w:rPr>
            </w:pPr>
          </w:p>
        </w:tc>
        <w:tc>
          <w:tcPr>
            <w:tcW w:w="980" w:type="dxa"/>
            <w:vAlign w:val="bottom"/>
          </w:tcPr>
          <w:p>
            <w:pPr>
              <w:jc w:val="center"/>
              <w:ind w:right="114"/>
              <w:spacing w:after="0"/>
              <w:rPr>
                <w:sz w:val="20"/>
                <w:szCs w:val="20"/>
                <w:color w:val="auto"/>
              </w:rPr>
            </w:pPr>
            <w:r>
              <w:rPr>
                <w:rFonts w:ascii="Arial" w:cs="Arial" w:eastAsia="Arial" w:hAnsi="Arial"/>
                <w:sz w:val="8"/>
                <w:szCs w:val="8"/>
                <w:b w:val="1"/>
                <w:bCs w:val="1"/>
                <w:color w:val="auto"/>
              </w:rPr>
              <w:t>Equity (Deficit)</w:t>
            </w: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3,916,932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940.5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137,826</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(52.5)</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4,054,758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(1,175.5)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55"/>
        </w:trPr>
        <w:tc>
          <w:tcPr>
            <w:tcW w:w="5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3,545,515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930.8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(1,053.1)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(122.3)</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215,345</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(37.6)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(37.6)</w:t>
            </w: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July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3,760,860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(154.5)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Six Months Ended</w:t>
      </w:r>
    </w:p>
    <w:p>
      <w:pPr>
        <w:jc w:val="center"/>
        <w:ind w:left="8320"/>
        <w:spacing w:after="0"/>
        <w:rPr>
          <w:sz w:val="20"/>
          <w:szCs w:val="20"/>
          <w:color w:val="auto"/>
        </w:rPr>
      </w:pPr>
      <w:r>
        <w:rPr>
          <w:rFonts w:ascii="Arial" w:cs="Arial" w:eastAsia="Arial" w:hAnsi="Arial"/>
          <w:sz w:val="13"/>
          <w:szCs w:val="13"/>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5080</wp:posOffset>
            </wp:positionV>
            <wp:extent cx="18732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(37.6)</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23.3</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from write-off of fixed and intangible assets and lease termination</w:t>
            </w:r>
          </w:p>
        </w:tc>
        <w:tc>
          <w:tcPr>
            <w:tcW w:w="9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(13.6)</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Accrual of paid-in-kind interest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debt discount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Other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84"/>
        </w:trPr>
        <w:tc>
          <w:tcPr>
            <w:tcW w:w="83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r>
        <w:trPr>
          <w:trHeight w:val="178"/>
        </w:trPr>
        <w:tc>
          <w:tcPr>
            <w:tcW w:w="83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7"/>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78"/>
        </w:trPr>
        <w:tc>
          <w:tcPr>
            <w:tcW w:w="83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50"/>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financing payments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r>
      <w:tr>
        <w:trPr>
          <w:trHeight w:val="18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Six Months Ended</w:t>
      </w:r>
    </w:p>
    <w:p>
      <w:pPr>
        <w:spacing w:after="0" w:line="1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July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and Cash Equivalents and Restricted Cash to the Condensed Consolidated Balance Sheets: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76.6</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9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8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operating lease payments, net</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9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8340" w:type="dxa"/>
            <w:vAlign w:val="bottom"/>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lease right-of-use asset amortization</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54"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20" w:lineRule="exact"/>
        <w:rPr>
          <w:rFonts w:ascii="Arial" w:cs="Arial" w:eastAsia="Arial" w:hAnsi="Arial"/>
          <w:sz w:val="14"/>
          <w:szCs w:val="14"/>
          <w:b w:val="1"/>
          <w:bCs w:val="1"/>
          <w:color w:val="auto"/>
        </w:rPr>
      </w:pPr>
    </w:p>
    <w:p>
      <w:pPr>
        <w:ind w:left="380" w:right="786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3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w:t>
      </w:r>
    </w:p>
    <w:p>
      <w:pPr>
        <w:spacing w:after="0" w:line="48" w:lineRule="exact"/>
        <w:rPr>
          <w:rFonts w:ascii="Arial" w:cs="Arial" w:eastAsia="Arial" w:hAnsi="Arial"/>
          <w:sz w:val="14"/>
          <w:szCs w:val="14"/>
          <w:b w:val="1"/>
          <w:bCs w:val="1"/>
          <w:color w:val="auto"/>
        </w:rPr>
      </w:pPr>
    </w:p>
    <w:p>
      <w:pPr>
        <w:ind w:left="380" w:right="14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 For the three and six months ended July 31, 2025 and 2024, comprehensive loss is equal to net loss as the Company had no items of other comprehensive loss in these periods.</w:t>
      </w:r>
    </w:p>
    <w:p>
      <w:pPr>
        <w:spacing w:after="0" w:line="52" w:lineRule="exact"/>
        <w:rPr>
          <w:rFonts w:ascii="Arial" w:cs="Arial" w:eastAsia="Arial" w:hAnsi="Arial"/>
          <w:sz w:val="14"/>
          <w:szCs w:val="14"/>
          <w:b w:val="1"/>
          <w:bCs w:val="1"/>
          <w:color w:val="auto"/>
        </w:rPr>
      </w:pPr>
    </w:p>
    <w:p>
      <w:pPr>
        <w:ind w:left="380" w:right="1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and six months ended July 31, 2025 are not necessarily indicative of the operating results expected for the year ending January 31, 2026 or any future period. The condensed consolidated balance sheet as of January 31, 2025 is derived from the audited consolidated financial statements. Accordingly, the unaudited condensed consolidated financial statements and notes included herein should be read in conjunction with the Company’s audited consolidated financial statements and notes for the year ended January 31, 2025, which can be found in the Company’s Annual Report on Form 10-K filed with the SEC on April 15, 2025.</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Reverse Stock Split</w:t>
      </w:r>
    </w:p>
    <w:p>
      <w:pPr>
        <w:spacing w:after="0" w:line="94" w:lineRule="exact"/>
        <w:rPr>
          <w:sz w:val="20"/>
          <w:szCs w:val="20"/>
          <w:color w:val="auto"/>
        </w:rPr>
      </w:pPr>
    </w:p>
    <w:p>
      <w:pPr>
        <w:jc w:val="both"/>
        <w:ind w:left="380" w:right="80"/>
        <w:spacing w:after="0" w:line="290" w:lineRule="auto"/>
        <w:rPr>
          <w:sz w:val="20"/>
          <w:szCs w:val="20"/>
          <w:color w:val="auto"/>
        </w:rPr>
      </w:pPr>
      <w:r>
        <w:rPr>
          <w:rFonts w:ascii="Arial" w:cs="Arial" w:eastAsia="Arial" w:hAnsi="Arial"/>
          <w:sz w:val="14"/>
          <w:szCs w:val="14"/>
          <w:color w:val="auto"/>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spacing w:after="0" w:line="141"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11—Stockholders’ Equity for additional information.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Fiscal Year</w:t>
      </w:r>
    </w:p>
    <w:p>
      <w:pPr>
        <w:spacing w:after="0" w:line="94"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The Company’s fiscal year ends on January 31 of the next calendar year. For example, references to “fiscal year 2025” refer to the fiscal year ending January 31, 2026, references to “fiscal year 2024” refer to the fiscal year ended January 31, 2025, and references to “fiscal year 2023” refer to the fiscal year ended January 31, 2024.</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spacing w:after="0" w:line="148" w:lineRule="exact"/>
        <w:rPr>
          <w:sz w:val="20"/>
          <w:szCs w:val="20"/>
          <w:color w:val="auto"/>
        </w:rPr>
      </w:pPr>
    </w:p>
    <w:p>
      <w:pPr>
        <w:ind w:left="380" w:right="220"/>
        <w:spacing w:after="0" w:line="274" w:lineRule="auto"/>
        <w:rPr>
          <w:sz w:val="20"/>
          <w:szCs w:val="20"/>
          <w:color w:val="auto"/>
        </w:rPr>
      </w:pPr>
      <w:r>
        <w:rPr>
          <w:rFonts w:ascii="Arial" w:cs="Arial" w:eastAsia="Arial" w:hAnsi="Arial"/>
          <w:sz w:val="14"/>
          <w:szCs w:val="14"/>
          <w:color w:val="auto"/>
        </w:rPr>
        <w:t>The key measure of segment profit or loss that the CODM uses to make operating decisions, allocate resources, and evaluate financial performance is the Company’s net loss as reported in the Company’s condensed consolidated statements of operations.</w:t>
      </w:r>
    </w:p>
    <w:p>
      <w:pPr>
        <w:spacing w:after="0" w:line="142" w:lineRule="exact"/>
        <w:rPr>
          <w:sz w:val="20"/>
          <w:szCs w:val="20"/>
          <w:color w:val="auto"/>
        </w:rPr>
      </w:pPr>
    </w:p>
    <w:p>
      <w:pPr>
        <w:ind w:left="380" w:right="20"/>
        <w:spacing w:after="0" w:line="249" w:lineRule="auto"/>
        <w:rPr>
          <w:sz w:val="20"/>
          <w:szCs w:val="20"/>
          <w:color w:val="auto"/>
        </w:rPr>
      </w:pPr>
      <w:r>
        <w:rPr>
          <w:rFonts w:ascii="Arial" w:cs="Arial" w:eastAsia="Arial" w:hAnsi="Arial"/>
          <w:sz w:val="14"/>
          <w:szCs w:val="14"/>
          <w:color w:val="auto"/>
        </w:rPr>
        <w:t>Significant expenses within net loss include fulfillment, technology, marketing, and general and administrative expenses, rental product depreciation and revenue share, and other depreciation and amortization. These operating expenses are each separately presented in the condensed consolidated statements of operations. Other segment items within net loss include interest income (expense), net, other income (expense), net and income tax benefit (expense). The CODM evaluates financial performance by comparing consolidated expenses against the budget and forecasted expenses to inform decision-making.</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revenue is attributed to customers based in the United States and substantially all the Company’s long-lived assets are located in the United States.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140"/>
        <w:spacing w:after="0" w:line="271" w:lineRule="auto"/>
        <w:rPr>
          <w:sz w:val="20"/>
          <w:szCs w:val="20"/>
          <w:color w:val="auto"/>
        </w:rPr>
      </w:pPr>
      <w:r>
        <w:rPr>
          <w:rFonts w:ascii="Arial" w:cs="Arial" w:eastAsia="Arial" w:hAnsi="Arial"/>
          <w:sz w:val="14"/>
          <w:szCs w:val="14"/>
          <w:color w:val="auto"/>
        </w:rPr>
        <w:t>As of July 31, 2025,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or six months ended July 31, 2025 and 2024.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jc w:val="both"/>
        <w:ind w:left="380" w:right="8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94" w:lineRule="exact"/>
        <w:rPr>
          <w:sz w:val="20"/>
          <w:szCs w:val="20"/>
          <w:color w:val="auto"/>
        </w:rPr>
      </w:pPr>
    </w:p>
    <w:p>
      <w:pPr>
        <w:ind w:left="380" w:right="280"/>
        <w:spacing w:after="0" w:line="265" w:lineRule="auto"/>
        <w:rPr>
          <w:sz w:val="20"/>
          <w:szCs w:val="20"/>
          <w:color w:val="auto"/>
        </w:rPr>
      </w:pPr>
      <w:r>
        <w:rPr>
          <w:rFonts w:ascii="Arial" w:cs="Arial" w:eastAsia="Arial" w:hAnsi="Arial"/>
          <w:sz w:val="14"/>
          <w:szCs w:val="14"/>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53"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July 31, 2025 and January 31, 2025 was $ 2.2 million and $2.0 million, respectively. The accelerated depreciation related to rental product held for sale was $1.5 million and $1.3 million for the three months ended July 31, 2025 and 2024, respectively, and $3.0 million and $2.4 million for the six months ended July 31, 2025 and 2024, respectively. The accelerated depreciation is presented on the condensed consolidated statements of operations within Rental product depreciation and revenue share.</w:t>
      </w:r>
    </w:p>
    <w:p>
      <w:pPr>
        <w:spacing w:after="0" w:line="53" w:lineRule="exact"/>
        <w:rPr>
          <w:sz w:val="20"/>
          <w:szCs w:val="20"/>
          <w:color w:val="auto"/>
        </w:rPr>
      </w:pPr>
    </w:p>
    <w:p>
      <w:pPr>
        <w:ind w:left="380" w:right="4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49"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$11.8 million and $13.6 million for the six months ended July 31, 2025 and 2024, respectively. Proceeds from the liquidation of rental product were $1.6 million and $2.2 million for the six months ended July 31, 2025 and 2024, respectively.</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 xml:space="preserve">Subscription and a-la-carte rental fees (“Subscription and Reserve rental revenue”) are recognized in accordance with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(“ASC 842”). Other revenue, primarily related to the sale of rental product, is recognized under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at the date of delivery of the product to the customer. Other revenue represented 14% and 13% of total revenue for the three months ended July 31, 2025 and 2024, respectively, and 13% and 13% of total revenue for the six months ended July 31, 2025 and 2024, respectively. Sales of rental product to customers within Other revenue represented 13% and 11% of total revenue for the three and six months ended July 31, 2025, respectively.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49" w:lineRule="exact"/>
        <w:rPr>
          <w:sz w:val="20"/>
          <w:szCs w:val="20"/>
          <w:color w:val="auto"/>
        </w:rPr>
      </w:pPr>
    </w:p>
    <w:p>
      <w:pPr>
        <w:ind w:left="380"/>
        <w:spacing w:after="0" w:line="257" w:lineRule="auto"/>
        <w:rPr>
          <w:sz w:val="20"/>
          <w:szCs w:val="20"/>
          <w:color w:val="auto"/>
        </w:rPr>
      </w:pPr>
      <w:r>
        <w:rPr>
          <w:rFonts w:ascii="Arial" w:cs="Arial" w:eastAsia="Arial" w:hAnsi="Arial"/>
          <w:sz w:val="14"/>
          <w:szCs w:val="14"/>
          <w:color w:val="auto"/>
        </w:rPr>
        <w:t>The Company issued gift cards during the six months ended July 31, 2025 and the year ended January 31, 2025. The new gift cards issued were immaterial to the Company’s condensed consolidated financial statements. During the year ended January 31, 2024, the Company did not issue any new gift cards but customers were able to redeem gift cards sold in previous years. The Company recognizes a liability at the time a gift card or customer credit is issued. Upon redemption of the gift card or credit, revenue is recognized in line with the customer’s rental or item purchase. The Company’s gift card liability is presented within Accrued expenses and other current liabilities on the Condensed Consolidated Balance Sheets and the Company’s customer credit liability is presented on the Condensed Consolidated Balance Sheets. During the three months ended July 31, 2025 and 2024, $0.3 million and $0.3 million of credits included in the customer credit liability as of April 30, 2025 and 2024, respectively, were redeemed. During the six months ended July 31, 2025 and 2024, $0.6 million and $0.7 million of credits included in the customer credit liability as of January 31, 2025 and 2024, respectively,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49" w:lineRule="exact"/>
        <w:rPr>
          <w:sz w:val="20"/>
          <w:szCs w:val="20"/>
          <w:color w:val="auto"/>
        </w:rPr>
      </w:pPr>
    </w:p>
    <w:p>
      <w:pPr>
        <w:ind w:left="380" w:right="200"/>
        <w:spacing w:after="0" w:line="262"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spacing w:after="0" w:line="55"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July 31, 2025 and January 31, 2025.</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22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July 31, 2025 and January 31, 2025.</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Nasdaq. Upon grant of awards, the Company also estimates an amount of forfeitures that will occur prior to vesting. There were no stock options granted during the three and six months ended July 31, 2025 and 2024.</w:t>
      </w:r>
    </w:p>
    <w:p>
      <w:pPr>
        <w:spacing w:after="0" w:line="152" w:lineRule="exact"/>
        <w:rPr>
          <w:sz w:val="20"/>
          <w:szCs w:val="20"/>
          <w:color w:val="auto"/>
        </w:rPr>
      </w:pPr>
    </w:p>
    <w:p>
      <w:pPr>
        <w:ind w:left="380" w:right="160"/>
        <w:spacing w:after="0" w:line="243" w:lineRule="auto"/>
        <w:rPr>
          <w:sz w:val="20"/>
          <w:szCs w:val="20"/>
          <w:color w:val="auto"/>
        </w:rPr>
      </w:pPr>
      <w:r>
        <w:rPr>
          <w:rFonts w:ascii="Arial" w:cs="Arial" w:eastAsia="Arial" w:hAnsi="Arial"/>
          <w:sz w:val="14"/>
          <w:szCs w:val="14"/>
          <w:color w:val="auto"/>
        </w:rPr>
        <w:t>The Company has granted two types of restricted stock units (“RSUs”). Prior to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initial public offering (“IPO”).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12—Share-based Compensation Plans for a description of the accounting for share-based awards.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Interest Income and Expense</w:t>
      </w:r>
    </w:p>
    <w:p>
      <w:pPr>
        <w:spacing w:after="0" w:line="94"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Interest income and expense consist primarily of interest on the Company’s debt facility, debt discount amortization, and financing lease interest expense offset by interest income earned. The Company recognized interest and debt discount amortization expense of $7.2 million and $6.7 million during the three months ended July 31, 2025 and 2024, respectively, and $14.2 million and $13.2 million during the six months ended July 31, 2025 and 2024, respectively.</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Interim Impairment Evaluation</w:t>
      </w:r>
    </w:p>
    <w:p>
      <w:pPr>
        <w:spacing w:after="0" w:line="94"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During the six months ended July 31, 2025 and year ended January 31, 2025, the Company concluded a triggering event had occurred during the first and second quarters of fiscal year 2025 and the fourth quarter of fiscal year 2024 due to a decline in the Company’s stock price. For the six months ended July 31, 2025 and year ended January 31, 2025, the Company performed a quantitative assessment and concluded the undiscounted cash flows expected to be generated by the use and/or eventual disposition of the Company’s long-lived assets exceeded their carrying values. Therefore, no impairment was recognized for the six months ended July 31, 2025 and year ended January 31,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Statement - Reporting Comprehensive Income - Expense Disaggregation Disclosures</w:t>
      </w:r>
    </w:p>
    <w:p>
      <w:pPr>
        <w:spacing w:after="0" w:line="92"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In January 2025, the FASB issued ASU 2025-01, </w:t>
      </w:r>
      <w:r>
        <w:rPr>
          <w:rFonts w:ascii="Arial" w:cs="Arial" w:eastAsia="Arial" w:hAnsi="Arial"/>
          <w:sz w:val="14"/>
          <w:szCs w:val="14"/>
          <w:i w:val="1"/>
          <w:iCs w:val="1"/>
          <w:color w:val="auto"/>
        </w:rPr>
        <w:t>Income Statement—Reporting Comprehensive Income—Expense Disaggregation Disclosures (Subtopic 220-40): Clarifying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Effective Date </w:t>
      </w:r>
      <w:r>
        <w:rPr>
          <w:rFonts w:ascii="Arial" w:cs="Arial" w:eastAsia="Arial" w:hAnsi="Arial"/>
          <w:sz w:val="14"/>
          <w:szCs w:val="14"/>
          <w:color w:val="auto"/>
        </w:rPr>
        <w:t>to clarify the effective date of ASU 2024-03. The amendments require disclosure of additional information about specific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 (Topic 740): Improvements to Income Tax Disclosures</w:t>
      </w:r>
    </w:p>
    <w:p>
      <w:pPr>
        <w:spacing w:after="0" w:line="92"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223"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6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net losses from operations of $(26.4) million and $(52.5) million for the three and six months ended July 31, 2025, respectively, has incurred significant recurring net losses since inception, has an accumulated deficit of $(1,175.5) million as of July 31, 2025, and has historically relied on debt and equity financing to fund its operations. The Company’s cash flows from operations for the six months ended July 31, 2025 were $(2.2) million compared to $6.8 million for the six months ended July 31, 2024. Cash out flows from investing activities for the six months ended July 31, 2025 were $(30.7) million compared to $(12.7) million for the six months ended July 31, 2024. As of July 31, 2025, the Company held cash and cash equivalents of $43.6 million and long-term debt of $343.9 million with a maturity date in October 2026, which will be classified as a current liability as of October 29, 2025.</w:t>
      </w:r>
    </w:p>
    <w:p>
      <w:pPr>
        <w:spacing w:after="0" w:line="56" w:lineRule="exact"/>
        <w:rPr>
          <w:rFonts w:ascii="Arial" w:cs="Arial" w:eastAsia="Arial" w:hAnsi="Arial"/>
          <w:sz w:val="14"/>
          <w:szCs w:val="14"/>
          <w:b w:val="1"/>
          <w:bCs w:val="1"/>
          <w:color w:val="auto"/>
        </w:rPr>
      </w:pPr>
    </w:p>
    <w:p>
      <w:pPr>
        <w:ind w:left="38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experienced year-over-year revenue growth and a reduction in net losses in fiscal years 2024 and 2023 and significantly reduced its cash outflows from operations plus cash outflows generated (used) in investing during the year ended January 31, 2025. The Company experienced an increase in net loss during the three and six months ended July 31, 2025 as compared to the three and six months ended July 31, 2024. The Company also experienced an increase in cash outflows as measured by cash flows from operations plus cash flows generated (used) in investing during the six months ended July 31, 2025 as compared to the six months ended July 31, 2024 due to a decrease in revenue and the Company intentionally increasing its investment in rental product and purchasing more units in fiscal year 2025. To the extent the Company is impacted by macroeconomic trends, or other factors, including, but not limited to, lower demand for our business, increased rental product spend, or tariffs, the Company plans to reduce fixed and variable costs accordingly and has established plans to preserve existing cash liquidity, which includes additional reductions to labor, operating expenses, and/or capital expenditures. However, these actions will not provide sufficient incremental liquidity to fund the Company’s long-term obligations when they become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right="40"/>
        <w:spacing w:after="0" w:line="243" w:lineRule="auto"/>
        <w:rPr>
          <w:sz w:val="20"/>
          <w:szCs w:val="20"/>
          <w:color w:val="auto"/>
        </w:rPr>
      </w:pPr>
      <w:r>
        <w:rPr>
          <w:rFonts w:ascii="Arial" w:cs="Arial" w:eastAsia="Arial" w:hAnsi="Arial"/>
          <w:sz w:val="14"/>
          <w:szCs w:val="14"/>
          <w:color w:val="auto"/>
        </w:rPr>
        <w:t>The 2023 Amended Temasek Facility modified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 In the event that the Company fails to comply with the covenants specified in the 2023 Amended Temasek Facility, the lender has the right to declare all borrowings outstanding, together with accrued and unpaid interest and fees, to be immediately due and payable.</w:t>
      </w:r>
    </w:p>
    <w:p>
      <w:pPr>
        <w:spacing w:after="0" w:line="153" w:lineRule="exact"/>
        <w:rPr>
          <w:sz w:val="20"/>
          <w:szCs w:val="20"/>
          <w:color w:val="auto"/>
        </w:rPr>
      </w:pPr>
    </w:p>
    <w:p>
      <w:pPr>
        <w:ind w:left="380"/>
        <w:spacing w:after="0" w:line="238" w:lineRule="auto"/>
        <w:rPr>
          <w:sz w:val="20"/>
          <w:szCs w:val="20"/>
          <w:color w:val="auto"/>
        </w:rPr>
      </w:pPr>
      <w:r>
        <w:rPr>
          <w:rFonts w:ascii="Arial" w:cs="Arial" w:eastAsia="Arial" w:hAnsi="Arial"/>
          <w:sz w:val="14"/>
          <w:szCs w:val="14"/>
          <w:color w:val="auto"/>
        </w:rPr>
        <w:t>On March 31, 2025, the Company entered into an Eleventh Amendment to the 2023 Amended Temasek Facility with CHS (US) Management LLC (formerly Double Helix Pte Ltd. prior to January 2025) as administrative agent, and CHS US Investments LLC, as lender (the “Eleventh Amendment”). The Eleventh Amendment amended the 2023 Amended Temasek Facility (as defined herein) to extend the deadline to mutually agree upon the Company’s fiscal year 2025 spend levels – covering rental product capital expenditures, fixed operating expenditures and marketing expenditures – from March 31, 2025 to May 30, 2025 (the “Covenant Deadline”). On May 29, 2025, the Company entered into a Twelfth Amendment to the Credit Agreement with CHS (US) Management LLC (formerly Double Helix Pte Ltd. prior to January 2025) as administrative agent, and CHS US Investments LLC, as lender (the “Twelfth Amendment”). On July 31, 2025, the Company entered into a Thirteenth Amendment to the Credit Agreement with CHS (US) Management LLC, as administrative agent, and CHS US Investments LLC, as lender (the “Thirteenth Amendment”). The Twelfth and Thirteenth Amendments further extended the Covenant Deadline from May 30, 2025 to July 31, 2025 and from July 31, 2025 to August 29, 2025, respectively. The Thirteenth Amendment also extended the due date of the cash interest payment due on August 1, 2025 to August 29, 2025. On August 20, 2025, concurrently with the Company’s entry into the Exchange Agreement (as defined below), the Company entered into a Fourteenth Amendment to the Credit Agreement with CHS (US) Management LLC, as administrative agent, and CHS US Investments LLC, as lender (the “Fourteenth Amendment”) (the 2023 Amended Temasek Facility, as amended by the Eleventh Amendment, Twelfth Amendment, Thirteenth Amendment and Fourteenth Amendment, the “2025 Amended Facility”). The Fourteenth Amendment provided that, among other things, (i) interest that would</w:t>
      </w:r>
    </w:p>
    <w:p>
      <w:pPr>
        <w:spacing w:after="0" w:line="8" w:lineRule="exact"/>
        <w:rPr>
          <w:sz w:val="20"/>
          <w:szCs w:val="20"/>
          <w:color w:val="auto"/>
        </w:rPr>
      </w:pPr>
    </w:p>
    <w:p>
      <w:pPr>
        <w:ind w:left="380" w:right="360"/>
        <w:spacing w:after="0" w:line="229" w:lineRule="auto"/>
        <w:rPr>
          <w:sz w:val="20"/>
          <w:szCs w:val="20"/>
          <w:color w:val="auto"/>
        </w:rPr>
      </w:pPr>
      <w:r>
        <w:rPr>
          <w:rFonts w:ascii="Arial" w:cs="Arial" w:eastAsia="Arial" w:hAnsi="Arial"/>
          <w:sz w:val="14"/>
          <w:szCs w:val="14"/>
          <w:color w:val="auto"/>
        </w:rPr>
        <w:t>otherwise be payable in cash will be capitalized; and (ii) the liquidity financial covenant level will temporarily be reduced from $30 million to $15 million until the earliest of February 20, 2026 (which may be extended if agreed to by the parties), termination of the Exchange Agreement (with an additional 30-day relief period in certain</w:t>
      </w:r>
    </w:p>
    <w:p>
      <w:pPr>
        <w:ind w:left="380" w:right="560"/>
        <w:spacing w:after="0" w:line="253" w:lineRule="auto"/>
        <w:rPr>
          <w:sz w:val="20"/>
          <w:szCs w:val="20"/>
          <w:color w:val="auto"/>
        </w:rPr>
      </w:pPr>
      <w:r>
        <w:rPr>
          <w:rFonts w:ascii="Arial" w:cs="Arial" w:eastAsia="Arial" w:hAnsi="Arial"/>
          <w:sz w:val="14"/>
          <w:szCs w:val="14"/>
          <w:color w:val="auto"/>
        </w:rPr>
        <w:t>circumstances), and the closing of the transactions contemplated by the Exchange Agreement (the “Recapitalization Transactions”). The Fourteenth Amendment also eliminated the spend levels for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right="20"/>
        <w:spacing w:after="0" w:line="256" w:lineRule="auto"/>
        <w:rPr>
          <w:sz w:val="20"/>
          <w:szCs w:val="20"/>
          <w:color w:val="auto"/>
        </w:rPr>
      </w:pPr>
      <w:r>
        <w:rPr>
          <w:rFonts w:ascii="Arial" w:cs="Arial" w:eastAsia="Arial" w:hAnsi="Arial"/>
          <w:sz w:val="14"/>
          <w:szCs w:val="14"/>
          <w:color w:val="auto"/>
        </w:rPr>
        <w:t>On August 20, 2025, the Company entered into an exchange agreement (the “Exchange Agreement”) with its existing lender, CHS US Investments LLC, as part of a broader recapitalization intended to improve the Company’s capital structure, enhance financial flexibility, and extend debt maturities. Upon the closing of the Recapitalization Transactions, the Company shall enter into an amended and restated credit agreement (the “New Credit Agreement”), by and among the Company, as borrower, CHS (US) Management LLC, as administrative agent, and CHS US Investments LLC, Gateway Runway, LLC (“Nexus”) and S3 RR Aggregator, LLC (“Story3”) (collectively, the “Investor Group”). The New Credit Agreement, when entered into in accordance with the terms of the Exchange Agreement, will amend and restate the 2025 Amended Facility and provide for $ 120 million in aggregate principal amount of term loans comprised of (x) $100 million of the Company’s existing outstanding indebtedness owing to CHS US Investments LLC under the 2025 Amended Facility to be exchanged on a dollar-for-dollar cashless basis for new term loans under the New Credit Agreement and (y)</w:t>
      </w:r>
    </w:p>
    <w:p>
      <w:pPr>
        <w:ind w:left="380"/>
        <w:spacing w:after="0" w:line="254" w:lineRule="auto"/>
        <w:rPr>
          <w:sz w:val="20"/>
          <w:szCs w:val="20"/>
          <w:color w:val="auto"/>
        </w:rPr>
      </w:pPr>
      <w:r>
        <w:rPr>
          <w:rFonts w:ascii="Arial" w:cs="Arial" w:eastAsia="Arial" w:hAnsi="Arial"/>
          <w:sz w:val="14"/>
          <w:szCs w:val="14"/>
          <w:color w:val="auto"/>
        </w:rPr>
        <w:t>$20 million of new money term loans to be provided by the Investor Group upon the closing of the Recapitalization Transactions. All such term loans would mature on the fourth anniversary of the closing of the Recapitalization Transactions and bear interest, at the Company’s option, at either (i) a bank reference rate plus 4.00% or (ii) term SOFR plus 5.00%, in each case per annum. The New Credit Agreement would modify the 2025 Amended Facility in certain other respects, including extending the reduced minimum liquidity maintenance covenant of $15 million through February 20, 2027, after which the original covenant level resumes. Pursuant to the Exchange Agreement, upon the closing of the Recapitalization Transactions, the remaining outstanding indebtedness owing to CHS US Investments LLC under the 2025 Amended Facility will be exchanged for newly issued shares of the Company’s Class A common stock, equal to 86% of the Company’s outstanding shares (after giving effect to the conversion of all shares of Class B common stock into shares of Class A common stock pursuant to the Company’s certificate of incorporation, effectively immediately prior to (A) the effectiveness of the Thirteenth Amended and Restated Certificate of Incorporation (the “Amended and Restated Charter”), or (B) if stockholder approval of the Amended and Restated Charter is not obtained, the closing (the “Conversions”), but before giving effect to the $12,500,000 rights offering (the “Rights Offering”) and the number of shares of Class A common stock equal to approximately 18.3% of the shares of Class A common stock outstanding immediately prior to the closing (the “MIP Pool”).</w:t>
      </w:r>
    </w:p>
    <w:p>
      <w:pPr>
        <w:spacing w:after="0" w:line="171" w:lineRule="exact"/>
        <w:rPr>
          <w:sz w:val="20"/>
          <w:szCs w:val="20"/>
          <w:color w:val="auto"/>
        </w:rPr>
      </w:pPr>
    </w:p>
    <w:p>
      <w:pPr>
        <w:ind w:left="380" w:right="60"/>
        <w:spacing w:after="0" w:line="257" w:lineRule="auto"/>
        <w:rPr>
          <w:sz w:val="20"/>
          <w:szCs w:val="20"/>
          <w:color w:val="auto"/>
        </w:rPr>
      </w:pPr>
      <w:r>
        <w:rPr>
          <w:rFonts w:ascii="Arial" w:cs="Arial" w:eastAsia="Arial" w:hAnsi="Arial"/>
          <w:sz w:val="14"/>
          <w:szCs w:val="14"/>
          <w:color w:val="auto"/>
        </w:rPr>
        <w:t>The Recapitalization Transactions are expected to close by December 31, 2025, subject to stockholder approval among other conditions as further described in Note 15 - Subsequent Events, and is expected to significantly reduce the Company’s total indebtedness, lower interest costs, and provide financial flexibility. However, while the Company believes the Recapitalization Transactions will enhance its ability to fund operations over the next twelve months, there can be no assurance that future capital needs will not require additional sources of liquidity or covenant modifications. If the Company is unable to achieve its operating and strategic objectives, or to secure further financing if needed, its results of operations and financial condition could be materially adversely affected. As of the issuance of these financial statements, the debt will mature on October 29, 2026 and would be classified as a current liability as of October 29, 2025, unless the Recapitalization Transactions close on or before that date, or the 2025 Amended Facility is amended to extend its maturity. However,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w:t>
      </w:r>
    </w:p>
    <w:p>
      <w:pPr>
        <w:spacing w:after="0" w:line="337" w:lineRule="exact"/>
        <w:rPr>
          <w:sz w:val="20"/>
          <w:szCs w:val="20"/>
          <w:color w:val="auto"/>
        </w:rPr>
      </w:pPr>
    </w:p>
    <w:p>
      <w:pPr>
        <w:ind w:left="380" w:right="8500" w:hanging="375"/>
        <w:spacing w:after="0" w:line="371" w:lineRule="auto"/>
        <w:tabs>
          <w:tab w:leader="none" w:pos="371"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Restructuring and Related Charges </w:t>
      </w:r>
      <w:r>
        <w:rPr>
          <w:rFonts w:ascii="Arial" w:cs="Arial" w:eastAsia="Arial" w:hAnsi="Arial"/>
          <w:sz w:val="14"/>
          <w:szCs w:val="14"/>
          <w:b w:val="1"/>
          <w:bCs w:val="1"/>
          <w:i w:val="1"/>
          <w:iCs w:val="1"/>
          <w:color w:val="auto"/>
        </w:rPr>
        <w:t>January 2024 Restructuring Plan</w:t>
      </w:r>
    </w:p>
    <w:p>
      <w:pPr>
        <w:ind w:left="380" w:right="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140"/>
        <w:spacing w:after="0" w:line="260" w:lineRule="auto"/>
        <w:rPr>
          <w:sz w:val="20"/>
          <w:szCs w:val="20"/>
          <w:color w:val="auto"/>
        </w:rPr>
      </w:pPr>
      <w:r>
        <w:rPr>
          <w:rFonts w:ascii="Arial" w:cs="Arial" w:eastAsia="Arial" w:hAnsi="Arial"/>
          <w:sz w:val="14"/>
          <w:szCs w:val="14"/>
          <w:color w:val="auto"/>
        </w:rPr>
        <w:t>Restructuring charges of $0.2 million for severance and related costs were recognized during the six months ended July 31, 2024 and are reflected in Restructuring charges on the Company’s Condensed Consolidated Statements of Operations. No restructuring charges were recognized during the three and six months ended July 31, 2025. Restructuring charges of $0.2 million for severance and related costs were recognized during the year ended January 31, 2025 and were reflected in Restructuring charges on the Company’s Condensed Consolidated Statements of Operations. Cumulative charges related to severance and related costs incurred to date in connection with the January 2024 restructuring plan were $2.2 million. Accrued restructuring charges were none and $0.2 million as of July 31, 2025 and January 31, 2025, respectively. The restructuring plan was completed during the first quarter of fiscal year 2025.</w:t>
      </w:r>
    </w:p>
    <w:p>
      <w:pPr>
        <w:spacing w:after="0" w:line="227"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99" w:lineRule="exact"/>
        <w:rPr>
          <w:rFonts w:ascii="Arial" w:cs="Arial" w:eastAsia="Arial" w:hAnsi="Arial"/>
          <w:sz w:val="14"/>
          <w:szCs w:val="14"/>
          <w:b w:val="1"/>
          <w:bCs w:val="1"/>
          <w:color w:val="auto"/>
        </w:rPr>
      </w:pPr>
    </w:p>
    <w:p>
      <w:pPr>
        <w:ind w:left="380" w:right="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Condensed Consolidated Statements of Operations.</w:t>
      </w:r>
    </w:p>
    <w:p>
      <w:pPr>
        <w:spacing w:after="0" w:line="137" w:lineRule="exact"/>
        <w:rPr>
          <w:rFonts w:ascii="Arial" w:cs="Arial" w:eastAsia="Arial" w:hAnsi="Arial"/>
          <w:sz w:val="14"/>
          <w:szCs w:val="14"/>
          <w:b w:val="1"/>
          <w:bCs w:val="1"/>
          <w:color w:val="auto"/>
        </w:rPr>
      </w:pPr>
    </w:p>
    <w:p>
      <w:pPr>
        <w:ind w:left="380" w:right="2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July 31, 2025:</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2026</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2027</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2028</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2029</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0.7</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4"/>
                <w:szCs w:val="14"/>
                <w:color w:val="auto"/>
              </w:rPr>
              <w:t>(0.3)</w:t>
            </w:r>
          </w:p>
        </w:tc>
      </w:tr>
      <w:tr>
        <w:trPr>
          <w:trHeight w:val="171"/>
        </w:trPr>
        <w:tc>
          <w:tcPr>
            <w:tcW w:w="7620" w:type="dxa"/>
            <w:vAlign w:val="bottom"/>
          </w:tcPr>
          <w:p>
            <w:pPr>
              <w:ind w:left="300"/>
              <w:spacing w:after="0"/>
              <w:rPr>
                <w:sz w:val="20"/>
                <w:szCs w:val="20"/>
                <w:color w:val="auto"/>
              </w:rPr>
            </w:pPr>
            <w:r>
              <w:rPr>
                <w:rFonts w:ascii="Arial" w:cs="Arial" w:eastAsia="Arial" w:hAnsi="Arial"/>
                <w:sz w:val="14"/>
                <w:szCs w:val="14"/>
                <w:color w:val="auto"/>
              </w:rPr>
              <w:t>Lease liabilities as of July 31, 2025</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color w:val="auto"/>
              </w:rPr>
              <w:t>0.4</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July 31,</w:t>
            </w:r>
          </w:p>
        </w:tc>
        <w:tc>
          <w:tcPr>
            <w:tcW w:w="260" w:type="dxa"/>
            <w:vAlign w:val="bottom"/>
          </w:tcPr>
          <w:p>
            <w:pPr>
              <w:spacing w:after="0"/>
              <w:rPr>
                <w:sz w:val="13"/>
                <w:szCs w:val="13"/>
                <w:color w:val="auto"/>
              </w:rPr>
            </w:pPr>
          </w:p>
        </w:tc>
        <w:tc>
          <w:tcPr>
            <w:tcW w:w="176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40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3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3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1969"/>
              <w:spacing w:after="0"/>
              <w:rPr>
                <w:sz w:val="20"/>
                <w:szCs w:val="20"/>
                <w:color w:val="auto"/>
              </w:rPr>
            </w:pPr>
            <w:r>
              <w:rPr>
                <w:rFonts w:ascii="Arial" w:cs="Arial" w:eastAsia="Arial" w:hAnsi="Arial"/>
                <w:sz w:val="14"/>
                <w:szCs w:val="14"/>
                <w:color w:val="auto"/>
              </w:rPr>
              <w:t>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$15.9 million and $16.2 million for the three months ended July 31, 2025 and 2024, respectively, and $29.1 million and $31.1 million for the six months ended July 31, 2025 and 2024, respectively.</w:t>
      </w:r>
    </w:p>
    <w:p>
      <w:pPr>
        <w:spacing w:after="0" w:line="205" w:lineRule="exact"/>
        <w:rPr>
          <w:sz w:val="20"/>
          <w:szCs w:val="20"/>
          <w:color w:val="auto"/>
        </w:rPr>
      </w:pPr>
    </w:p>
    <w:p>
      <w:pPr>
        <w:ind w:left="380" w:right="9820" w:hanging="375"/>
        <w:spacing w:after="0" w:line="379" w:lineRule="auto"/>
        <w:tabs>
          <w:tab w:leader="none" w:pos="371"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July 31, 2025 and January 31, 2025:</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362"/>
        </w:trPr>
        <w:tc>
          <w:tcPr>
            <w:tcW w:w="7380" w:type="dxa"/>
            <w:vAlign w:val="bottom"/>
          </w:tcPr>
          <w:p>
            <w:pPr>
              <w:ind w:left="200"/>
              <w:spacing w:after="0"/>
              <w:rPr>
                <w:sz w:val="20"/>
                <w:szCs w:val="20"/>
                <w:color w:val="auto"/>
              </w:rPr>
            </w:pPr>
            <w:r>
              <w:rPr>
                <w:rFonts w:ascii="Arial" w:cs="Arial" w:eastAsia="Arial" w:hAnsi="Arial"/>
                <w:sz w:val="14"/>
                <w:szCs w:val="14"/>
                <w:color w:val="auto"/>
              </w:rPr>
              <w:t>Debt Facility principal outstanding</w:t>
            </w:r>
          </w:p>
        </w:tc>
        <w:tc>
          <w:tcPr>
            <w:tcW w:w="960" w:type="dxa"/>
            <w:vAlign w:val="bottom"/>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Add: unamortized debt premium</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192"/>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Facility,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9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long-term debt</w:t>
            </w: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Debt Facility</w:t>
      </w:r>
    </w:p>
    <w:p>
      <w:pPr>
        <w:spacing w:after="0" w:line="94"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64"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December 2023, the Company entered into an amendment to the 2022 Amended Temasek Facility (the “2023 Amended Temasek Facility”). 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from $50 million to $30 million; and (iii) additional covenants requiring the Company to comply with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amortizes the debt discount</w:t>
      </w:r>
    </w:p>
    <w:p>
      <w:pPr>
        <w:spacing w:after="0" w:line="3" w:lineRule="exact"/>
        <w:rPr>
          <w:sz w:val="20"/>
          <w:szCs w:val="20"/>
          <w:color w:val="auto"/>
        </w:rPr>
      </w:pPr>
    </w:p>
    <w:p>
      <w:pPr>
        <w:ind w:left="380" w:right="100"/>
        <w:spacing w:after="0" w:line="238" w:lineRule="auto"/>
        <w:rPr>
          <w:sz w:val="20"/>
          <w:szCs w:val="20"/>
          <w:color w:val="auto"/>
        </w:rPr>
      </w:pPr>
      <w:r>
        <w:rPr>
          <w:rFonts w:ascii="Arial" w:cs="Arial" w:eastAsia="Arial" w:hAnsi="Arial"/>
          <w:sz w:val="14"/>
          <w:szCs w:val="14"/>
          <w:color w:val="auto"/>
        </w:rPr>
        <w:t>or premium using the effective interest method over the remaining term of the facility including the six full fiscal quarters during which payment-in-kind and cash interest were eliminated.</w:t>
      </w:r>
    </w:p>
    <w:p>
      <w:pPr>
        <w:spacing w:after="0" w:line="176"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50" w:lineRule="exact"/>
        <w:rPr>
          <w:sz w:val="20"/>
          <w:szCs w:val="20"/>
          <w:color w:val="auto"/>
        </w:rPr>
      </w:pPr>
    </w:p>
    <w:p>
      <w:pPr>
        <w:ind w:left="380" w:right="100"/>
        <w:spacing w:after="0" w:line="242" w:lineRule="auto"/>
        <w:rPr>
          <w:sz w:val="20"/>
          <w:szCs w:val="20"/>
          <w:color w:val="auto"/>
        </w:rPr>
      </w:pPr>
      <w:r>
        <w:rPr>
          <w:rFonts w:ascii="Arial" w:cs="Arial" w:eastAsia="Arial" w:hAnsi="Arial"/>
          <w:sz w:val="14"/>
          <w:szCs w:val="14"/>
          <w:color w:val="auto"/>
        </w:rPr>
        <w:t>In March 2025, May 2025, and July 2025, the Company entered into an Eleventh Amendment, Twelfth Amendment, and Thirteenth Amendment to the 2023 Amended Temasek Facility to extend the deadline to mutually agree upon the Company’s fiscal year 2025 spend levels - covering rental product capital expenditures, fixed operating expenditures and marketing expenditures - from March 31, 2025 to May 30, 2025, from May 30, 2025 to July 31, 2025, and then from July 31, 2025 to August 29, 2025, respectively. The Thirteenth Amendment also extended the due date of the cash interest payment due on August 1, 2025 to August 29, 2025. In August 2025, concurrently with the Exchange Agreement described below in Note 15—Subsequent Events, the Company entered into a Fourteenth Amendment to the Credit Agreement. The Fourteenth Amendment provided that, among other things, (i) interest that would otherwise be payable in cash will be capitalized; and (ii) the liquidity financial covenant level will be reduced from $30 million to $15 million until the earliest of February 20, 2026 (which may be extended if agreed to by the parties), termination of the Exchange Agreement (with an additional 30-day relief period in certain circumstances), and the closing of the Recapitalization Transactions.</w:t>
      </w:r>
    </w:p>
    <w:p>
      <w:pPr>
        <w:spacing w:after="0" w:line="155"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The Company determined that all of the embedded features of the 2025 Amended Facility were clearly and closely related to the debt host and did not require bifurcation as a derivative liability, or the fair value of the feature was immaterial to the Company’s condensed consolidated financial statements.</w:t>
      </w:r>
    </w:p>
    <w:p>
      <w:pPr>
        <w:spacing w:after="0" w:line="141" w:lineRule="exact"/>
        <w:rPr>
          <w:sz w:val="20"/>
          <w:szCs w:val="20"/>
          <w:color w:val="auto"/>
        </w:rPr>
      </w:pPr>
    </w:p>
    <w:p>
      <w:pPr>
        <w:ind w:left="380" w:right="200"/>
        <w:spacing w:after="0" w:line="271" w:lineRule="auto"/>
        <w:rPr>
          <w:sz w:val="20"/>
          <w:szCs w:val="20"/>
          <w:color w:val="auto"/>
        </w:rPr>
      </w:pPr>
      <w:r>
        <w:rPr>
          <w:rFonts w:ascii="Arial" w:cs="Arial" w:eastAsia="Arial" w:hAnsi="Arial"/>
          <w:sz w:val="14"/>
          <w:szCs w:val="14"/>
          <w:color w:val="auto"/>
        </w:rPr>
        <w:t>In January 2025, CHS (US) Management LLC replaced Double Helix Pte Ltd. as administrative agent for Temasek Holdings.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covenants as of July 31, 2025 and through the date of this filing.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July 31, 2025 and January 31, 2025 was $1.3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spacing w:after="0" w:line="161" w:lineRule="exact"/>
        <w:rPr>
          <w:rFonts w:ascii="Arial" w:cs="Arial" w:eastAsia="Arial" w:hAnsi="Arial"/>
          <w:sz w:val="14"/>
          <w:szCs w:val="14"/>
          <w:b w:val="1"/>
          <w:bCs w:val="1"/>
          <w:color w:val="auto"/>
        </w:rPr>
      </w:pPr>
    </w:p>
    <w:p>
      <w:pPr>
        <w:ind w:left="3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 xml:space="preserve">On July 4, 2025, the U.S. government enacted the One Big Beautiful Bill Act of 2025 (“the Act”) which includes, among other provisions, changes to the federal corporate income tax system, such as the immediate expensing of qualifying domestic research and development expenses and extensions of certain provisions within the Tax Cuts and Jobs Act. ASC 740, </w:t>
      </w:r>
      <w:r>
        <w:rPr>
          <w:rFonts w:ascii="Arial" w:cs="Arial" w:eastAsia="Arial" w:hAnsi="Arial"/>
          <w:sz w:val="14"/>
          <w:szCs w:val="14"/>
          <w:i w:val="1"/>
          <w:iCs w:val="1"/>
          <w:color w:val="auto"/>
        </w:rPr>
        <w:t>Income Taxes</w:t>
      </w:r>
      <w:r>
        <w:rPr>
          <w:rFonts w:ascii="Arial" w:cs="Arial" w:eastAsia="Arial" w:hAnsi="Arial"/>
          <w:sz w:val="14"/>
          <w:szCs w:val="14"/>
          <w:color w:val="auto"/>
        </w:rPr>
        <w:t>, requires the effects of changes in tax laws on deferred tax balances to be recognized in the period in which legislation is enacted, which occurred during the Company’s second fiscal quarter ended July 31, 2025. The Company has evaluated the provisions of the Act and reflected the impact during the three months ended July 31, 2025, which the impact was not material. Based on the Company's current financial position and results of operations, along with available information, the Company does not expect the Act to have a material impact on future periods. However, if our business operations or financial results change, or as additional regulations and administrative guidance are issued, we will evaluate any further impacts to our consolidated financial statements.</w:t>
      </w:r>
    </w:p>
    <w:p>
      <w:pPr>
        <w:spacing w:after="0" w:line="226" w:lineRule="exact"/>
        <w:rPr>
          <w:rFonts w:ascii="Arial" w:cs="Arial" w:eastAsia="Arial" w:hAnsi="Arial"/>
          <w:sz w:val="14"/>
          <w:szCs w:val="14"/>
          <w:b w:val="1"/>
          <w:bCs w:val="1"/>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July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r>
      <w:tr>
        <w:trPr>
          <w:trHeight w:val="20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related expenses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taxes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Short-term financing</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Gift card liability</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03"/>
        </w:trPr>
        <w:tc>
          <w:tcPr>
            <w:tcW w:w="734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0"/>
        </w:trPr>
        <w:tc>
          <w:tcPr>
            <w:tcW w:w="7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borrowing rate for the short-term financing obligation was 5.50% as of July 31, 2025 and January 31,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hanging="375"/>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ind w:left="380" w:right="1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July 31, 2025 and January 31, 2025,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5"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Company’s Condensed Consolidated Balance Sheets. Refer to Note 7 — Long-Term Debt. The Company estimates the fair value of its long-term debt using a discounted cash flow approach based on the Company’s implied credit spread using the higher end of the distribution for option adjusted spreads for similar financial instruments with similar credit ratings, and, as such, long-term debt is classified as Level 3 within the fair value hierarchy. As of July 31, 2025, the estimated fair value of the Company’s long-term debt was $236.0 million. Subsequent to July 31, 2025, the Company entered into the Exchange Agreement which is expected to affect the terms and amount of its outstanding debt. Refer to Note 15 - Subsequent Events for additional information.</w:t>
      </w:r>
    </w:p>
    <w:p>
      <w:pPr>
        <w:spacing w:after="0" w:line="224" w:lineRule="exact"/>
        <w:rPr>
          <w:rFonts w:ascii="Arial" w:cs="Arial" w:eastAsia="Arial" w:hAnsi="Arial"/>
          <w:sz w:val="14"/>
          <w:szCs w:val="14"/>
          <w:b w:val="1"/>
          <w:bCs w:val="1"/>
          <w:color w:val="auto"/>
        </w:rPr>
      </w:pPr>
    </w:p>
    <w:p>
      <w:pPr>
        <w:ind w:left="380" w:right="9500" w:hanging="375"/>
        <w:spacing w:after="0" w:line="379" w:lineRule="auto"/>
        <w:tabs>
          <w:tab w:leader="none" w:pos="367"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Reverse Stock Split</w:t>
      </w:r>
    </w:p>
    <w:p>
      <w:pPr>
        <w:ind w:left="380" w:right="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In March 2024, the Company’s stockholders approved, and the Board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w:t>
      </w:r>
    </w:p>
    <w:p>
      <w:pPr>
        <w:spacing w:after="0" w:line="24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Common Stock</w:t>
      </w:r>
    </w:p>
    <w:p>
      <w:pPr>
        <w:spacing w:after="0" w:line="91" w:lineRule="exact"/>
        <w:rPr>
          <w:rFonts w:ascii="Arial" w:cs="Arial" w:eastAsia="Arial" w:hAnsi="Arial"/>
          <w:sz w:val="14"/>
          <w:szCs w:val="14"/>
          <w:b w:val="1"/>
          <w:bCs w:val="1"/>
          <w:color w:val="auto"/>
        </w:rPr>
      </w:pPr>
    </w:p>
    <w:p>
      <w:pPr>
        <w:ind w:left="380" w:right="1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and, upon liquidation, dissolution, winding up or other liquidation event of the Company, all assets available for distribution to common stockholders. There are no redemption provisions with respect to common stock.</w:t>
      </w:r>
    </w:p>
    <w:p>
      <w:pPr>
        <w:spacing w:after="0" w:line="50"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July 31,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July 31, 2025 and January 31, 2025,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840" w:type="dxa"/>
            <w:vAlign w:val="bottom"/>
          </w:tcPr>
          <w:p>
            <w:pPr>
              <w:spacing w:after="0"/>
              <w:rPr>
                <w:sz w:val="11"/>
                <w:szCs w:val="11"/>
                <w:color w:val="auto"/>
              </w:rPr>
            </w:pPr>
          </w:p>
        </w:tc>
        <w:tc>
          <w:tcPr>
            <w:tcW w:w="1080" w:type="dxa"/>
            <w:vAlign w:val="bottom"/>
          </w:tcPr>
          <w:p>
            <w:pPr>
              <w:jc w:val="center"/>
              <w:ind w:left="643"/>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33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580" w:type="dxa"/>
            <w:vAlign w:val="bottom"/>
            <w:gridSpan w:val="3"/>
          </w:tcPr>
          <w:p>
            <w:pPr>
              <w:ind w:left="460"/>
              <w:spacing w:after="0"/>
              <w:rPr>
                <w:sz w:val="20"/>
                <w:szCs w:val="20"/>
                <w:color w:val="auto"/>
              </w:rPr>
            </w:pPr>
            <w:r>
              <w:rPr>
                <w:rFonts w:ascii="Arial" w:cs="Arial" w:eastAsia="Arial" w:hAnsi="Arial"/>
                <w:sz w:val="11"/>
                <w:szCs w:val="11"/>
                <w:b w:val="1"/>
                <w:bCs w:val="1"/>
                <w:color w:val="auto"/>
              </w:rPr>
              <w:t>Class of</w:t>
            </w: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Exercise</w:t>
            </w:r>
          </w:p>
        </w:tc>
        <w:tc>
          <w:tcPr>
            <w:tcW w:w="220" w:type="dxa"/>
            <w:vAlign w:val="bottom"/>
          </w:tcPr>
          <w:p>
            <w:pPr>
              <w:spacing w:after="0"/>
              <w:rPr>
                <w:sz w:val="11"/>
                <w:szCs w:val="11"/>
                <w:color w:val="auto"/>
              </w:rPr>
            </w:pPr>
          </w:p>
        </w:tc>
        <w:tc>
          <w:tcPr>
            <w:tcW w:w="1140" w:type="dxa"/>
            <w:vAlign w:val="bottom"/>
          </w:tcPr>
          <w:p>
            <w:pPr>
              <w:jc w:val="right"/>
              <w:ind w:right="351"/>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40" w:type="dxa"/>
            <w:vAlign w:val="bottom"/>
          </w:tcPr>
          <w:p>
            <w:pPr>
              <w:ind w:left="940"/>
              <w:spacing w:after="0"/>
              <w:rPr>
                <w:sz w:val="20"/>
                <w:szCs w:val="20"/>
                <w:color w:val="auto"/>
              </w:rPr>
            </w:pPr>
            <w:r>
              <w:rPr>
                <w:rFonts w:ascii="Arial" w:cs="Arial" w:eastAsia="Arial" w:hAnsi="Arial"/>
                <w:sz w:val="11"/>
                <w:szCs w:val="11"/>
                <w:b w:val="1"/>
                <w:bCs w:val="1"/>
                <w:color w:val="auto"/>
              </w:rPr>
              <w:t>Outstanding Warrants</w:t>
            </w:r>
          </w:p>
        </w:tc>
        <w:tc>
          <w:tcPr>
            <w:tcW w:w="1080" w:type="dxa"/>
            <w:vAlign w:val="bottom"/>
          </w:tcPr>
          <w:p>
            <w:pPr>
              <w:jc w:val="center"/>
              <w:ind w:left="663"/>
              <w:spacing w:after="0"/>
              <w:rPr>
                <w:sz w:val="20"/>
                <w:szCs w:val="20"/>
                <w:color w:val="auto"/>
              </w:rPr>
            </w:pPr>
            <w:r>
              <w:rPr>
                <w:rFonts w:ascii="Arial" w:cs="Arial" w:eastAsia="Arial" w:hAnsi="Arial"/>
                <w:sz w:val="11"/>
                <w:szCs w:val="11"/>
                <w:b w:val="1"/>
                <w:bCs w:val="1"/>
                <w:color w:val="auto"/>
              </w:rPr>
              <w:t>Issued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43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580" w:type="dxa"/>
            <w:vAlign w:val="bottom"/>
            <w:gridSpan w:val="3"/>
          </w:tcPr>
          <w:p>
            <w:pPr>
              <w:ind w:left="500"/>
              <w:spacing w:after="0"/>
              <w:rPr>
                <w:sz w:val="20"/>
                <w:szCs w:val="20"/>
                <w:color w:val="auto"/>
              </w:rPr>
            </w:pPr>
            <w:r>
              <w:rPr>
                <w:rFonts w:ascii="Arial" w:cs="Arial" w:eastAsia="Arial" w:hAnsi="Arial"/>
                <w:sz w:val="11"/>
                <w:szCs w:val="11"/>
                <w:b w:val="1"/>
                <w:bCs w:val="1"/>
                <w:color w:val="auto"/>
              </w:rPr>
              <w:t>Shares</w:t>
            </w: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22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1"/>
                <w:szCs w:val="11"/>
                <w:b w:val="1"/>
                <w:bCs w:val="1"/>
                <w:color w:val="auto"/>
              </w:rPr>
              <w:t>at Issuance</w:t>
            </w:r>
          </w:p>
        </w:tc>
      </w:tr>
      <w:tr>
        <w:trPr>
          <w:trHeight w:val="203"/>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10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360" w:type="dxa"/>
            <w:vAlign w:val="bottom"/>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  $</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36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36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360" w:type="dxa"/>
            <w:vAlign w:val="bottom"/>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40" w:type="dxa"/>
            <w:vAlign w:val="bottom"/>
          </w:tcPr>
          <w:p>
            <w:pPr>
              <w:ind w:left="20"/>
              <w:spacing w:after="0"/>
              <w:rPr>
                <w:sz w:val="20"/>
                <w:szCs w:val="20"/>
                <w:color w:val="auto"/>
              </w:rPr>
            </w:pPr>
            <w:r>
              <w:rPr>
                <w:rFonts w:ascii="Arial" w:cs="Arial" w:eastAsia="Arial" w:hAnsi="Arial"/>
                <w:sz w:val="14"/>
                <w:szCs w:val="14"/>
                <w:color w:val="auto"/>
              </w:rPr>
              <w:t>CHS (US) Management LLC</w:t>
            </w:r>
          </w:p>
        </w:tc>
        <w:tc>
          <w:tcPr>
            <w:tcW w:w="10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36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580" w:type="dxa"/>
            <w:vAlign w:val="bottom"/>
            <w:gridSpan w:val="3"/>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CHS (US) Management LLC</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Common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3"/>
        </w:trPr>
        <w:tc>
          <w:tcPr>
            <w:tcW w:w="2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As of July 31, 2025 and January 31, 2025, all outstanding warrants were equity-classified and recorded as additional paid-in capital. Equity-classified contracts are not subsequently remeasured unless reclassification is required from equity to liability classification.</w:t>
      </w:r>
    </w:p>
    <w:p>
      <w:pPr>
        <w:spacing w:after="0" w:line="3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4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91" w:lineRule="exact"/>
        <w:rPr>
          <w:rFonts w:ascii="Arial" w:cs="Arial" w:eastAsia="Arial" w:hAnsi="Arial"/>
          <w:sz w:val="14"/>
          <w:szCs w:val="14"/>
          <w:b w:val="1"/>
          <w:bCs w:val="1"/>
          <w:color w:val="auto"/>
        </w:rPr>
      </w:pPr>
    </w:p>
    <w:p>
      <w:pPr>
        <w:ind w:left="380" w:right="1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 There are no outstanding RSUs under the 2009 Plan and 2019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92"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Company's Amended and Restated 2021 Incentive Award Plan (the "2021 Plan") was adopted by its Board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six months ended July 31, 2025 and 2024 have a shorter vesting period of one to two years. As of July 31, 2025, there were 300,504 shares of Class A common stock available for issuance under the 2021 Plan. There will not be any further equity grants of Class B common stock.</w:t>
      </w:r>
    </w:p>
    <w:p>
      <w:pPr>
        <w:spacing w:after="0" w:line="57"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The risk-free rate for the expected term of the option is based on the U.S. Treasury yield curve at the date of grant. There were no stock options granted during the six months ended July 31, 2025 or year ended January 31, 2025.</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Weighted</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8"/>
        </w:trPr>
        <w:tc>
          <w:tcPr>
            <w:tcW w:w="4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27"/>
        </w:trPr>
        <w:tc>
          <w:tcPr>
            <w:tcW w:w="4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Weighted</w:t>
            </w: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Remaining</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8"/>
        </w:trPr>
        <w:tc>
          <w:tcPr>
            <w:tcW w:w="4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Average</w:t>
            </w: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Contract</w:t>
            </w:r>
          </w:p>
        </w:tc>
        <w:tc>
          <w:tcPr>
            <w:tcW w:w="240" w:type="dxa"/>
            <w:vAlign w:val="bottom"/>
          </w:tcPr>
          <w:p>
            <w:pPr>
              <w:spacing w:after="0"/>
              <w:rPr>
                <w:sz w:val="11"/>
                <w:szCs w:val="11"/>
                <w:color w:val="auto"/>
              </w:rPr>
            </w:pPr>
          </w:p>
        </w:tc>
        <w:tc>
          <w:tcPr>
            <w:tcW w:w="1080" w:type="dxa"/>
            <w:vAlign w:val="bottom"/>
          </w:tcPr>
          <w:p>
            <w:pPr>
              <w:jc w:val="center"/>
              <w:ind w:right="176"/>
              <w:spacing w:after="0"/>
              <w:rPr>
                <w:sz w:val="20"/>
                <w:szCs w:val="20"/>
                <w:color w:val="auto"/>
              </w:rPr>
            </w:pPr>
            <w:r>
              <w:rPr>
                <w:rFonts w:ascii="Arial" w:cs="Arial" w:eastAsia="Arial" w:hAnsi="Arial"/>
                <w:sz w:val="11"/>
                <w:szCs w:val="11"/>
                <w:b w:val="1"/>
                <w:bCs w:val="1"/>
                <w:color w:val="auto"/>
              </w:rPr>
              <w:t>Aggregate</w:t>
            </w:r>
          </w:p>
        </w:tc>
      </w:tr>
      <w:tr>
        <w:trPr>
          <w:trHeight w:val="138"/>
        </w:trPr>
        <w:tc>
          <w:tcPr>
            <w:tcW w:w="4040" w:type="dxa"/>
            <w:vAlign w:val="bottom"/>
          </w:tcPr>
          <w:p>
            <w:pPr>
              <w:spacing w:after="0"/>
              <w:rPr>
                <w:sz w:val="11"/>
                <w:szCs w:val="11"/>
                <w:color w:val="auto"/>
              </w:rPr>
            </w:pPr>
          </w:p>
        </w:tc>
        <w:tc>
          <w:tcPr>
            <w:tcW w:w="1300" w:type="dxa"/>
            <w:vAlign w:val="bottom"/>
          </w:tcPr>
          <w:p>
            <w:pPr>
              <w:jc w:val="right"/>
              <w:ind w:right="293"/>
              <w:spacing w:after="0"/>
              <w:rPr>
                <w:sz w:val="20"/>
                <w:szCs w:val="20"/>
                <w:color w:val="auto"/>
              </w:rPr>
            </w:pPr>
            <w:r>
              <w:rPr>
                <w:rFonts w:ascii="Arial" w:cs="Arial" w:eastAsia="Arial" w:hAnsi="Arial"/>
                <w:sz w:val="11"/>
                <w:szCs w:val="11"/>
                <w:b w:val="1"/>
                <w:bCs w:val="1"/>
                <w:color w:val="auto"/>
              </w:rPr>
              <w:t>Number of</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Exercise</w:t>
            </w: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6"/>
              </w:rPr>
              <w:t>Term</w:t>
            </w:r>
          </w:p>
        </w:tc>
        <w:tc>
          <w:tcPr>
            <w:tcW w:w="240" w:type="dxa"/>
            <w:vAlign w:val="bottom"/>
          </w:tcPr>
          <w:p>
            <w:pPr>
              <w:spacing w:after="0"/>
              <w:rPr>
                <w:sz w:val="11"/>
                <w:szCs w:val="11"/>
                <w:color w:val="auto"/>
              </w:rPr>
            </w:pPr>
          </w:p>
        </w:tc>
        <w:tc>
          <w:tcPr>
            <w:tcW w:w="1080" w:type="dxa"/>
            <w:vAlign w:val="bottom"/>
          </w:tcPr>
          <w:p>
            <w:pPr>
              <w:jc w:val="center"/>
              <w:ind w:right="176"/>
              <w:spacing w:after="0"/>
              <w:rPr>
                <w:sz w:val="20"/>
                <w:szCs w:val="20"/>
                <w:color w:val="auto"/>
              </w:rPr>
            </w:pPr>
            <w:r>
              <w:rPr>
                <w:rFonts w:ascii="Arial" w:cs="Arial" w:eastAsia="Arial" w:hAnsi="Arial"/>
                <w:sz w:val="11"/>
                <w:szCs w:val="11"/>
                <w:b w:val="1"/>
                <w:bCs w:val="1"/>
                <w:color w:val="auto"/>
              </w:rPr>
              <w:t>Intrinsic</w:t>
            </w:r>
          </w:p>
        </w:tc>
      </w:tr>
      <w:tr>
        <w:trPr>
          <w:trHeight w:val="165"/>
        </w:trPr>
        <w:tc>
          <w:tcPr>
            <w:tcW w:w="40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5"/>
              <w:spacing w:after="0"/>
              <w:rPr>
                <w:sz w:val="20"/>
                <w:szCs w:val="20"/>
                <w:color w:val="auto"/>
              </w:rPr>
            </w:pPr>
            <w:r>
              <w:rPr>
                <w:rFonts w:ascii="Arial" w:cs="Arial" w:eastAsia="Arial" w:hAnsi="Arial"/>
                <w:sz w:val="11"/>
                <w:szCs w:val="11"/>
                <w:b w:val="1"/>
                <w:bCs w:val="1"/>
                <w:color w:val="auto"/>
              </w:rPr>
              <w:t>Price</w:t>
            </w:r>
          </w:p>
        </w:tc>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5"/>
              </w:rPr>
              <w:t>Value</w:t>
            </w:r>
          </w:p>
        </w:tc>
      </w:tr>
      <w:tr>
        <w:trPr>
          <w:trHeight w:val="203"/>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2025</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212"/>
        </w:trPr>
        <w:tc>
          <w:tcPr>
            <w:tcW w:w="404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4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4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(3,254)</w:t>
            </w: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120.13</w:t>
            </w: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r>
      <w:tr>
        <w:trPr>
          <w:trHeight w:val="22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July 31, 2025</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30,284</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165.21</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Exercisable as of July 31, 2025</w:t>
            </w: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30,124</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164.87</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r>
    </w:tbl>
    <w:p>
      <w:pPr>
        <w:spacing w:after="0" w:line="249"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As of July 31, 2025, unrecognized compensation cost related to stock options granted was immaterial and is expected to be recognized over a weighted average period of 0.33 years.</w:t>
      </w:r>
    </w:p>
    <w:p>
      <w:pPr>
        <w:spacing w:after="0" w:line="141"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options relating to 331,370 shares of Class A and Class B common stock were forfeited in exchange for 132,546 RSUs which generally vest over two years.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Weighted</w:t>
            </w:r>
          </w:p>
        </w:tc>
      </w:t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r>
      <w:tr>
        <w:trPr>
          <w:trHeight w:val="127"/>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Grant-Date</w:t>
            </w:r>
          </w:p>
        </w:tc>
      </w:tr>
      <w:tr>
        <w:trPr>
          <w:trHeight w:val="138"/>
        </w:trPr>
        <w:tc>
          <w:tcPr>
            <w:tcW w:w="7380" w:type="dxa"/>
            <w:vAlign w:val="bottom"/>
          </w:tcPr>
          <w:p>
            <w:pPr>
              <w:spacing w:after="0"/>
              <w:rPr>
                <w:sz w:val="11"/>
                <w:szCs w:val="11"/>
                <w:color w:val="auto"/>
              </w:rPr>
            </w:pPr>
          </w:p>
        </w:tc>
        <w:tc>
          <w:tcPr>
            <w:tcW w:w="1380" w:type="dxa"/>
            <w:vAlign w:val="bottom"/>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w w:val="98"/>
              </w:rPr>
              <w:t>Fair Value</w:t>
            </w:r>
          </w:p>
        </w:tc>
      </w:tr>
      <w:tr>
        <w:trPr>
          <w:trHeight w:val="160"/>
        </w:trPr>
        <w:tc>
          <w:tcPr>
            <w:tcW w:w="73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r>
      <w:tr>
        <w:trPr>
          <w:trHeight w:val="208"/>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2025</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333,899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r>
      <w:tr>
        <w:trPr>
          <w:trHeight w:val="202"/>
        </w:trPr>
        <w:tc>
          <w:tcPr>
            <w:tcW w:w="738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106,793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222"/>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w:t>
            </w:r>
          </w:p>
        </w:tc>
      </w:tr>
      <w:tr>
        <w:trPr>
          <w:trHeight w:val="20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10.78</w:t>
            </w: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July 31,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286,606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As of July 31, 2025, there was $2.5 million of unrecognized compensation cost related to RSUs granted that is expected to be recognized over a weighted average period of 0.85 years. Of the total unrecognized compensation cost, an immaterial amount related to RSUs granted as a result of the option exchange.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123"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The classification of share-based compensation for the three and six months ended July 31, 2025 and 2024, respectively, presented within each line item of the Condensed Consolidated Statements of Operations is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28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1"/>
                <w:szCs w:val="11"/>
                <w:b w:val="1"/>
                <w:bCs w:val="1"/>
                <w:color w:val="auto"/>
              </w:rPr>
              <w:t>Three Months Ended July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1"/>
                <w:szCs w:val="11"/>
                <w:b w:val="1"/>
                <w:bCs w:val="1"/>
                <w:color w:val="auto"/>
              </w:rPr>
              <w:t>Six Months Ended July 31,</w:t>
            </w:r>
          </w:p>
        </w:tc>
        <w:tc>
          <w:tcPr>
            <w:tcW w:w="400" w:type="dxa"/>
            <w:vAlign w:val="bottom"/>
            <w:tcBorders>
              <w:bottom w:val="single" w:sz="8" w:color="auto"/>
            </w:tcBorders>
          </w:tcPr>
          <w:p>
            <w:pPr>
              <w:spacing w:after="0"/>
              <w:rPr>
                <w:sz w:val="13"/>
                <w:szCs w:val="13"/>
                <w:color w:val="auto"/>
              </w:rPr>
            </w:pPr>
          </w:p>
        </w:tc>
      </w:tr>
      <w:tr>
        <w:trPr>
          <w:trHeight w:val="155"/>
        </w:trPr>
        <w:tc>
          <w:tcPr>
            <w:tcW w:w="42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shd w:val="clear" w:color="auto" w:fill="CCEEFF"/>
          </w:tcPr>
          <w:p>
            <w:pPr>
              <w:spacing w:after="0"/>
              <w:rPr>
                <w:sz w:val="13"/>
                <w:szCs w:val="13"/>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000" w:type="dxa"/>
            <w:vAlign w:val="bottom"/>
          </w:tcPr>
          <w:p>
            <w:pPr>
              <w:jc w:val="right"/>
              <w:ind w:right="83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7"/>
                <w:szCs w:val="17"/>
                <w:color w:val="auto"/>
              </w:rPr>
            </w:pPr>
          </w:p>
        </w:tc>
        <w:tc>
          <w:tcPr>
            <w:tcW w:w="980" w:type="dxa"/>
            <w:vAlign w:val="bottom"/>
          </w:tcPr>
          <w:p>
            <w:pPr>
              <w:jc w:val="right"/>
              <w:ind w:right="81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7"/>
                <w:szCs w:val="17"/>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2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right="60"/>
        <w:spacing w:after="0" w:line="239" w:lineRule="auto"/>
        <w:rPr>
          <w:sz w:val="20"/>
          <w:szCs w:val="20"/>
          <w:color w:val="auto"/>
        </w:rPr>
      </w:pPr>
      <w:r>
        <w:rPr>
          <w:rFonts w:ascii="Arial" w:cs="Arial" w:eastAsia="Arial" w:hAnsi="Arial"/>
          <w:sz w:val="14"/>
          <w:szCs w:val="14"/>
          <w:color w:val="auto"/>
        </w:rPr>
        <w:t>The Company recognized $0.3 million and $0.7 million of share-based compensation expense during the three and six months ended July 31, 2025, respectively, including incremental share-based compensation expense as a result of the option exchange discussed above. The Company recognized $0.4 million and $0.8 million of share-based</w:t>
      </w:r>
    </w:p>
    <w:p>
      <w:pPr>
        <w:spacing w:after="0" w:line="1"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compensation expense during the three and six months ended July 31, 2024, respectively, including incremental share-based compensation expense as a result of the option exchange discussed above.</w:t>
      </w:r>
    </w:p>
    <w:p>
      <w:pPr>
        <w:spacing w:after="0" w:line="230"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tcPr>
          <w:p>
            <w:pPr>
              <w:ind w:left="200"/>
              <w:spacing w:after="0"/>
              <w:rPr>
                <w:sz w:val="20"/>
                <w:szCs w:val="20"/>
                <w:color w:val="auto"/>
              </w:rPr>
            </w:pPr>
            <w:r>
              <w:rPr>
                <w:rFonts w:ascii="Arial" w:cs="Arial" w:eastAsia="Arial" w:hAnsi="Arial"/>
                <w:sz w:val="11"/>
                <w:szCs w:val="11"/>
                <w:b w:val="1"/>
                <w:bCs w:val="1"/>
                <w:color w:val="auto"/>
              </w:rPr>
              <w:t>Three Months Ended July 31,</w:t>
            </w:r>
          </w:p>
        </w:tc>
        <w:tc>
          <w:tcPr>
            <w:tcW w:w="300" w:type="dxa"/>
            <w:vAlign w:val="bottom"/>
          </w:tcPr>
          <w:p>
            <w:pPr>
              <w:spacing w:after="0"/>
              <w:rPr>
                <w:sz w:val="13"/>
                <w:szCs w:val="13"/>
                <w:color w:val="auto"/>
              </w:rPr>
            </w:pPr>
          </w:p>
        </w:tc>
        <w:tc>
          <w:tcPr>
            <w:tcW w:w="2200" w:type="dxa"/>
            <w:vAlign w:val="bottom"/>
            <w:gridSpan w:val="4"/>
          </w:tcPr>
          <w:p>
            <w:pPr>
              <w:jc w:val="right"/>
              <w:ind w:right="473"/>
              <w:spacing w:after="0"/>
              <w:rPr>
                <w:sz w:val="20"/>
                <w:szCs w:val="20"/>
                <w:color w:val="auto"/>
              </w:rPr>
            </w:pPr>
            <w:r>
              <w:rPr>
                <w:rFonts w:ascii="Arial" w:cs="Arial" w:eastAsia="Arial" w:hAnsi="Arial"/>
                <w:sz w:val="11"/>
                <w:szCs w:val="11"/>
                <w:b w:val="1"/>
                <w:bCs w:val="1"/>
                <w:color w:val="auto"/>
              </w:rPr>
              <w:t>Six Months Ended July 31,</w:t>
            </w:r>
          </w:p>
        </w:tc>
      </w:tr>
      <w:tr>
        <w:trPr>
          <w:trHeight w:val="155"/>
        </w:trPr>
        <w:tc>
          <w:tcPr>
            <w:tcW w:w="53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2024</w:t>
            </w:r>
          </w:p>
        </w:tc>
      </w:tr>
      <w:tr>
        <w:trPr>
          <w:trHeight w:val="19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2"/>
        </w:trPr>
        <w:tc>
          <w:tcPr>
            <w:tcW w:w="538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538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 to</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538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common stockholders, basic and diluted</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4,033,571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3,736,953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4,000,887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3,692,025</w:t>
            </w: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1" w:lineRule="exact"/>
        <w:rPr>
          <w:sz w:val="20"/>
          <w:szCs w:val="20"/>
          <w:color w:val="auto"/>
        </w:rPr>
      </w:pPr>
    </w:p>
    <w:p>
      <w:pPr>
        <w:ind w:left="8280"/>
        <w:spacing w:after="0"/>
        <w:rPr>
          <w:sz w:val="20"/>
          <w:szCs w:val="20"/>
          <w:color w:val="auto"/>
        </w:rPr>
      </w:pPr>
      <w:r>
        <w:rPr>
          <w:rFonts w:ascii="Arial" w:cs="Arial" w:eastAsia="Arial" w:hAnsi="Arial"/>
          <w:sz w:val="11"/>
          <w:szCs w:val="11"/>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24765</wp:posOffset>
            </wp:positionV>
            <wp:extent cx="21291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44"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9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208"/>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30,284</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35,325</w:t>
            </w:r>
          </w:p>
        </w:tc>
      </w:tr>
      <w:tr>
        <w:trPr>
          <w:trHeight w:val="202"/>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640" w:type="dxa"/>
            <w:vAlign w:val="bottom"/>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131,574</w:t>
            </w:r>
          </w:p>
        </w:tc>
      </w:tr>
      <w:tr>
        <w:trPr>
          <w:trHeight w:val="22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286,606</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461,484</w:t>
            </w:r>
          </w:p>
        </w:tc>
      </w:tr>
      <w:tr>
        <w:trPr>
          <w:trHeight w:val="203"/>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448,464</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628,383</w:t>
            </w:r>
          </w:p>
        </w:tc>
      </w:tr>
      <w:tr>
        <w:trPr>
          <w:trHeight w:val="20"/>
        </w:trPr>
        <w:tc>
          <w:tcPr>
            <w:tcW w:w="6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July 31, 2025 and January 31, 2025 of $8.6 million and $9.1 million, respectively, primarily to satisfy security deposit requirements on its leases. The restricted cash balances also consisted of letters of credit for rental product purchases and credit card transactions.</w:t>
      </w:r>
    </w:p>
    <w:p>
      <w:pPr>
        <w:spacing w:after="0" w:line="15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had the following non-cancelable minimum purchase commitments related to technology services as of July 31, 2025:</w:t>
      </w:r>
    </w:p>
    <w:p>
      <w:pPr>
        <w:spacing w:after="0" w:line="240"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Commitment</w:t>
            </w:r>
          </w:p>
        </w:tc>
      </w:tr>
      <w:tr>
        <w:trPr>
          <w:trHeight w:val="161"/>
        </w:trPr>
        <w:tc>
          <w:tcPr>
            <w:tcW w:w="7640" w:type="dxa"/>
            <w:vAlign w:val="bottom"/>
            <w:shd w:val="clear" w:color="auto" w:fill="CCEEFF"/>
          </w:tcPr>
          <w:p>
            <w:pPr>
              <w:jc w:val="right"/>
              <w:ind w:right="6829"/>
              <w:spacing w:after="0"/>
              <w:rPr>
                <w:sz w:val="20"/>
                <w:szCs w:val="20"/>
                <w:color w:val="auto"/>
              </w:rPr>
            </w:pPr>
            <w:r>
              <w:rPr>
                <w:rFonts w:ascii="Arial" w:cs="Arial" w:eastAsia="Arial" w:hAnsi="Arial"/>
                <w:sz w:val="14"/>
                <w:szCs w:val="14"/>
                <w:color w:val="auto"/>
              </w:rPr>
              <w:t>Fiscal year:</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7640" w:type="dxa"/>
            <w:vAlign w:val="bottom"/>
          </w:tcPr>
          <w:p>
            <w:pPr>
              <w:jc w:val="right"/>
              <w:ind w:right="7069"/>
              <w:spacing w:after="0"/>
              <w:rPr>
                <w:sz w:val="20"/>
                <w:szCs w:val="20"/>
                <w:color w:val="auto"/>
              </w:rPr>
            </w:pPr>
            <w:r>
              <w:rPr>
                <w:rFonts w:ascii="Arial" w:cs="Arial" w:eastAsia="Arial" w:hAnsi="Arial"/>
                <w:sz w:val="14"/>
                <w:szCs w:val="14"/>
                <w:color w:val="auto"/>
              </w:rPr>
              <w:t>2025</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7640" w:type="dxa"/>
            <w:vAlign w:val="bottom"/>
            <w:shd w:val="clear" w:color="auto" w:fill="CCEEFF"/>
          </w:tcPr>
          <w:p>
            <w:pPr>
              <w:jc w:val="right"/>
              <w:ind w:right="7069"/>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7640" w:type="dxa"/>
            <w:vAlign w:val="bottom"/>
            <w:tcBorders>
              <w:bottom w:val="single" w:sz="8" w:color="CCEEFF"/>
            </w:tcBorders>
          </w:tcPr>
          <w:p>
            <w:pPr>
              <w:jc w:val="right"/>
              <w:ind w:right="7069"/>
              <w:spacing w:after="0"/>
              <w:rPr>
                <w:sz w:val="20"/>
                <w:szCs w:val="20"/>
                <w:color w:val="auto"/>
              </w:rPr>
            </w:pPr>
            <w:r>
              <w:rPr>
                <w:rFonts w:ascii="Arial" w:cs="Arial" w:eastAsia="Arial" w:hAnsi="Arial"/>
                <w:sz w:val="14"/>
                <w:szCs w:val="14"/>
                <w:color w:val="auto"/>
              </w:rPr>
              <w:t>2027</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7640" w:type="dxa"/>
            <w:vAlign w:val="bottom"/>
            <w:tcBorders>
              <w:bottom w:val="single" w:sz="8" w:color="CCEEFF"/>
            </w:tcBorders>
            <w:shd w:val="clear" w:color="auto" w:fill="CCEEFF"/>
          </w:tcPr>
          <w:p>
            <w:pPr>
              <w:jc w:val="right"/>
              <w:ind w:right="5169"/>
              <w:spacing w:after="0"/>
              <w:rPr>
                <w:sz w:val="20"/>
                <w:szCs w:val="20"/>
                <w:color w:val="auto"/>
              </w:rPr>
            </w:pPr>
            <w:r>
              <w:rPr>
                <w:rFonts w:ascii="Arial" w:cs="Arial" w:eastAsia="Arial" w:hAnsi="Arial"/>
                <w:sz w:val="14"/>
                <w:szCs w:val="14"/>
                <w:color w:val="auto"/>
              </w:rPr>
              <w:t>Commitments as of July 31, 2025</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3"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right="24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53" w:lineRule="exact"/>
        <w:rPr>
          <w:sz w:val="20"/>
          <w:szCs w:val="20"/>
          <w:color w:val="auto"/>
        </w:rPr>
      </w:pPr>
    </w:p>
    <w:p>
      <w:pPr>
        <w:ind w:left="380"/>
        <w:spacing w:after="0" w:line="255"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60"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040" w:hanging="375"/>
        <w:spacing w:after="0" w:line="537" w:lineRule="auto"/>
        <w:tabs>
          <w:tab w:leader="none" w:pos="375"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Subsequent Events </w:t>
      </w:r>
      <w:r>
        <w:rPr>
          <w:rFonts w:ascii="Arial" w:cs="Arial" w:eastAsia="Arial" w:hAnsi="Arial"/>
          <w:sz w:val="14"/>
          <w:szCs w:val="14"/>
          <w:i w:val="1"/>
          <w:iCs w:val="1"/>
          <w:color w:val="auto"/>
        </w:rPr>
        <w:t>Recapitalization Transactions</w:t>
      </w:r>
    </w:p>
    <w:p>
      <w:pPr>
        <w:spacing w:after="0" w:line="1" w:lineRule="exact"/>
        <w:rPr>
          <w:rFonts w:ascii="Arial" w:cs="Arial" w:eastAsia="Arial" w:hAnsi="Arial"/>
          <w:sz w:val="14"/>
          <w:szCs w:val="14"/>
          <w:b w:val="1"/>
          <w:bCs w:val="1"/>
          <w:color w:val="auto"/>
        </w:rPr>
      </w:pPr>
    </w:p>
    <w:p>
      <w:pPr>
        <w:ind w:left="380" w:right="4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On August 20, 2025, the Company entered into an exchange agreement (the “Exchange Agreement”) with CHS US Investments LLC (“Lender”) in connection with the Recapitalization Transactions.</w:t>
      </w:r>
    </w:p>
    <w:p>
      <w:pPr>
        <w:spacing w:after="0" w:line="141" w:lineRule="exact"/>
        <w:rPr>
          <w:rFonts w:ascii="Arial" w:cs="Arial" w:eastAsia="Arial" w:hAnsi="Arial"/>
          <w:sz w:val="14"/>
          <w:szCs w:val="14"/>
          <w:b w:val="1"/>
          <w:bCs w:val="1"/>
          <w:color w:val="auto"/>
        </w:rPr>
      </w:pPr>
    </w:p>
    <w:p>
      <w:pPr>
        <w:ind w:left="380" w:right="60"/>
        <w:spacing w:after="0" w:line="257" w:lineRule="auto"/>
        <w:rPr>
          <w:rFonts w:ascii="Arial" w:cs="Arial" w:eastAsia="Arial" w:hAnsi="Arial"/>
          <w:sz w:val="14"/>
          <w:szCs w:val="14"/>
          <w:b w:val="1"/>
          <w:bCs w:val="1"/>
          <w:color w:val="auto"/>
        </w:rPr>
      </w:pPr>
      <w:r>
        <w:rPr>
          <w:rFonts w:ascii="Arial" w:cs="Arial" w:eastAsia="Arial" w:hAnsi="Arial"/>
          <w:sz w:val="14"/>
          <w:szCs w:val="14"/>
          <w:color w:val="auto"/>
        </w:rPr>
        <w:t>Concurrently with the entry into the Exchange Agreement, on August 20, 2025, the Company also entered into (i) an investor rights agreement (the “Investor Rights Agreement”), by and among the Company, the Investor Group and certain entities affiliated with Jennifer Hyman, (ii) an amendment to the employment agreement with Ms. Hyman, Chief Executive Officer (the “Amended Employment Agreement”), (iii) an amendment to the Rent the Runway, Inc. Transaction Bonus Plan (the “Amended Transaction Bonus Plan”), (iv) a rights offering backstop agreement (the “Rights Offering Backstop Agreement”), by and among the Company and the Investor Group, (v) a debt and equity purchase agreement (the “Debt and Equity Purchase Agreement”), by and among the Company, CHS (US) Management LLC (“Agent”) and the Investor Group, and (vi) a conversion notice and proxy (the “Conversion Notice and Proxy”) with each of the holders of the Company’s Class B common stock, each as further described below. In addition, upon the closing of the Exchange Transactions (as defined below) (the “Closing”), the Company shall enter into an amended and restated credit agreement (the “New Credit Agreement”), by and among the Company, as borrower, Agent, as the administrative agent, and the Investor Group to evidence the new term loans that will result, upon the Closing, from the transactions described below.</w:t>
      </w:r>
    </w:p>
    <w:p>
      <w:pPr>
        <w:spacing w:after="0" w:line="167" w:lineRule="exact"/>
        <w:rPr>
          <w:rFonts w:ascii="Arial" w:cs="Arial" w:eastAsia="Arial" w:hAnsi="Arial"/>
          <w:sz w:val="14"/>
          <w:szCs w:val="14"/>
          <w:b w:val="1"/>
          <w:bCs w:val="1"/>
          <w:color w:val="auto"/>
        </w:rPr>
      </w:pPr>
    </w:p>
    <w:p>
      <w:pPr>
        <w:ind w:left="380"/>
        <w:spacing w:after="0" w:line="256" w:lineRule="auto"/>
        <w:rPr>
          <w:rFonts w:ascii="Arial" w:cs="Arial" w:eastAsia="Arial" w:hAnsi="Arial"/>
          <w:sz w:val="14"/>
          <w:szCs w:val="14"/>
          <w:b w:val="1"/>
          <w:bCs w:val="1"/>
          <w:color w:val="auto"/>
        </w:rPr>
      </w:pPr>
      <w:r>
        <w:rPr>
          <w:rFonts w:ascii="Arial" w:cs="Arial" w:eastAsia="Arial" w:hAnsi="Arial"/>
          <w:sz w:val="14"/>
          <w:szCs w:val="14"/>
          <w:color w:val="auto"/>
        </w:rPr>
        <w:t>The Company’s Board of Directors (the “Board”), acting on the unanimous recommendation of the finance committee of the Board (the “Finance Committee”), with the Finance Committee being comprised of independent and disinterested directors formed for the purpose of considering potential financing and strategic transactions, such as the Recapitalization Transactions, unanimously (with Ms. Hyman abstaining) (i) determined that the terms of the Exchange Agreement, the other principal transaction documents and the Recapitalization Transactions, including the Exchange Transactions (as defined below), are fair to, and in the best interests of, the Company and its stockholders, (ii) determined that it is in the best interests of the Company and its stockholders and declared it advisable that the Company enter into the Exchange Agreement and the other principal transaction documents, (iii) approved the execution and delivery of the Exchange Agreement and the other principal transaction documents by the Company, the Company’s performance of the covenants and agreements contained therein and the consummation of the Recapitalization Transactions upon the terms and subject to the conditions contained therein, (iv) resolved to recommend that the Company’s stockholders vote to approve the issuance of the Exchange Stock (as defined below) and the issuance of shares of the Company’s Class A common stock pursuant to the Rights Offering Backstop Agreement, the MIP (as defined below) and the Thirteenth Amended and Restated Certificate of Incorporation (the “Amended and Restated Charter”), to be effective immediately prior to the Closing, in each case, pursuant to the terms of the Exchange Agreement, and (v) directed that the matters in clause (iv) be submitted for approval by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Exchange Agreement</w:t>
      </w:r>
    </w:p>
    <w:p>
      <w:pPr>
        <w:spacing w:after="0" w:line="198"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Pursuant to the Exchange Agreement, at the Closing, Lender would (i) exchange $100 million of existing outstanding indebtedness owing to Lender under the 2025 Amended Facility on a dollar-for-dollar cashless basis for new term loans under the New Credit Agreement (“Exchange Consideration Term Loans”) and (ii) contribute all outstanding indebtedness owing to Lender under the 2025 Amended Facility in excess thereof to the Company in exchange for newly issued shares of the Class A common stock, equal to 86% of the number of shares of the Company’s total common stock outstanding as of the Closing (after giving effect to the Conversions (as defined below), but before giving effect to the Rights Offering (as defined below) and the MIP Pool (as defined below) (the “Exchange Stock”) (collectively, the “Exchange Transactions”). The converted debt will be exchanged at an effective conversion price of $ 9.23 per share assuming the Closing occurs on December 31, 2025, or an 80.9% premium to the 30-day volume weighted average price as of August 20, 2025 of $5.10 per share.</w:t>
      </w:r>
    </w:p>
    <w:p>
      <w:pPr>
        <w:spacing w:after="0" w:line="163"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In connection with the Exchange Agreement, all of the holders of the Class B common stock (the “Proxy Stockholders”) executed and delivered a Conversion Notice and Proxy (collectively, the “Conversion Notices”), pursuant to which each such Proxy Stockholder (i) opted to convert his, her or its respective shares of Class B common stock into shares of Class A common stock pursuant to the Company’s certificate of incorporation, effective immediately prior to (A) the effectiveness of the Thirteenth Amended and Restated Certificate of Incorporation (the “Amended and Restated Charter”), or (B) if stockholder approval of the Amended and Restated Charter is not obtained, the Closing (the “Conversions”), and (ii) granted to certain officers of the Company, at the request of the Board, a proxy to vote (or cause to be voted) all shares of common stock held by such Proxy Stockholders at the meeting of stockholders to be held to obtain the approval of all actions presented to the Company’s stockholders by the Board that are necessary and desirable in connection with the Recapitalization Transactions, including the issuance of the Exchange Stock, to the extent required by Nasdaq rules, the issuance of shares pursuant to the Rights Offering Backstop Agreement, and the Amended and Restated Charter (the proxy described in this clause (ii), the “Proxy”).</w:t>
      </w:r>
    </w:p>
    <w:p>
      <w:pPr>
        <w:spacing w:after="0" w:line="164"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The Closing is not subject to a financing condition, but is subject to certain conditions, including (i) approval of the Company’s stockholders (the “Company Stockholder Approval”) of the issuance of the Exchange Stock pursuant to the Exchange Agreement and the amendment and restatement of the Company’s Amended and Restated 2021 Incentive Award Plan (as further described below), (ii) absence of any order or injunction prohibiting the consummation of the Recapitalization Transactions, (iii) consummation of the Rights Offering, (iv) substantially simultaneous consummation of the sale transactions contemplated by the Debt and Equity Purchase Agreement, (v) entry by the Company and the Investor Group into the New Credit Agreement and effectiveness thereof, (vi) adoption of amended and restated bylaws, (vii) subject in certain cases to customary materiality qualifiers, the accuracy of the representations and warranties contained in the Exchange Agreement and compliance with the covenants contained in the Exchange Agreement and (viii) no Company Material Adverse Effect having occurred since the date of the Exchange Agreement that is continuing.</w:t>
      </w:r>
    </w:p>
    <w:p>
      <w:pPr>
        <w:spacing w:after="0" w:line="163" w:lineRule="exact"/>
        <w:rPr>
          <w:sz w:val="20"/>
          <w:szCs w:val="20"/>
          <w:color w:val="auto"/>
        </w:rPr>
      </w:pPr>
    </w:p>
    <w:p>
      <w:pPr>
        <w:ind w:left="380" w:right="120"/>
        <w:spacing w:after="0" w:line="248" w:lineRule="auto"/>
        <w:rPr>
          <w:sz w:val="20"/>
          <w:szCs w:val="20"/>
          <w:color w:val="auto"/>
        </w:rPr>
      </w:pPr>
      <w:r>
        <w:rPr>
          <w:rFonts w:ascii="Arial" w:cs="Arial" w:eastAsia="Arial" w:hAnsi="Arial"/>
          <w:sz w:val="14"/>
          <w:szCs w:val="14"/>
          <w:color w:val="auto"/>
        </w:rPr>
        <w:t>The Exchange Agreement contains customary representations, warranties and covenants, including, among others, covenants by the Company to conduct the Company’s businesses in the ordinary course between the execution of the Exchange Agreement and the Closing, not to engage in certain kinds of transactions during such period (including payment of dividends outside of the ordinary course or as otherwise permitted under the Exchange Agreement), to convene and hold a meeting of the Company’s stockholders to consider and vote upon the Company Stockholder Approval, to seek approval from the Company’s stockholders of the Amended and Restated Charter, to conduct the Rights Offering, and, subject to certain customary exceptions, for the Board to recommend that the Company’s stockholders approve the issuance of the Exchange Stock pursuant to the Exchange Agreement, to the extent required by Nasdaq rules, the issuance of shares pursuant to the Rights Offering Backstop Agreement, and the Amended and Restated Charter. The Exchange Agreement also contains customary representations, warranties and covenants of Lender.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84" w:lineRule="exact"/>
        <w:rPr>
          <w:sz w:val="20"/>
          <w:szCs w:val="20"/>
          <w:color w:val="auto"/>
        </w:rPr>
      </w:pPr>
    </w:p>
    <w:p>
      <w:pPr>
        <w:ind w:left="380" w:right="80"/>
        <w:spacing w:after="0" w:line="250" w:lineRule="auto"/>
        <w:rPr>
          <w:sz w:val="20"/>
          <w:szCs w:val="20"/>
          <w:color w:val="auto"/>
        </w:rPr>
      </w:pPr>
      <w:r>
        <w:rPr>
          <w:rFonts w:ascii="Arial" w:cs="Arial" w:eastAsia="Arial" w:hAnsi="Arial"/>
          <w:sz w:val="14"/>
          <w:szCs w:val="14"/>
          <w:color w:val="auto"/>
        </w:rPr>
        <w:t>The Exchange Agreement contains a customary “no-shop” provision that restricts the Company’s ability to, among other things, solicit Takeover Proposals (as defined in the Exchange Agreement) from third parties and to provide non-public information to, and engage in discussions or negotiations with, third parties regarding Takeover Proposals. The “no-shop” provision allows the Company, under certain circumstances and in compliance with certain obligations set forth in the Exchange Agreement, to provide non-public information to any person and its representatives that has made a bona fide Takeover Proposal that either constitutes, or would reasonably be expected to lead to, a Takeover Proposal.</w:t>
      </w:r>
    </w:p>
    <w:p>
      <w:pPr>
        <w:spacing w:after="0" w:line="169" w:lineRule="exact"/>
        <w:rPr>
          <w:sz w:val="20"/>
          <w:szCs w:val="20"/>
          <w:color w:val="auto"/>
        </w:rPr>
      </w:pPr>
    </w:p>
    <w:p>
      <w:pPr>
        <w:ind w:left="380"/>
        <w:spacing w:after="0" w:line="245" w:lineRule="auto"/>
        <w:rPr>
          <w:sz w:val="20"/>
          <w:szCs w:val="20"/>
          <w:color w:val="auto"/>
        </w:rPr>
      </w:pPr>
      <w:r>
        <w:rPr>
          <w:rFonts w:ascii="Arial" w:cs="Arial" w:eastAsia="Arial" w:hAnsi="Arial"/>
          <w:sz w:val="14"/>
          <w:szCs w:val="14"/>
          <w:color w:val="auto"/>
        </w:rPr>
        <w:t>The Exchange Agreement contains certain termination rights for both the Company and Lender. The Company shall pay to Lender a fee of $ 6,000,000 if: (i) Lender terminates the Exchange Agreement as a result of an Adverse Recommendation Change (as defined in the Exchange Agreement) by the Board; (ii) the Company terminates the Exchange Agreement to enter into a definitive agreement for a Superior Proposal (as defined in the Exchange Agreement); or (iii) a Takeover Proposal has been made and thereafter the Exchange Agreement is terminated as a result of the Exchange Transactions not having been consummated on or before 11:59 p.m., Eastern time, on February 20, 2026 (as such date may be extended pursuant to any written agreement to so extend that is executed by the Company and Lender), the Company Stockholder Approval not having been obtained, the Company’s breach of the Company’s representations, warranties or covenants in a manner that would cause the related conditions to Closing to not be met or a Proxy Stockholder having rescinded, revoked, withdrawn, repudiated or challenged the validity or effectiveness of their respective Conversion Notices or Proxy (a “Proxy Revocation”), and within 12 months of such termination the Company or any of the Company’s subsidiaries consummate a specified Takeover Proposal or enter into a definitive agreement providing for a specified Takeover Proposal. The Company shall pay to Lender a fee of $2,000,000 if Lender terminates the Exchange Agreement as a result of a Proxy Revocation (which shall be creditable against the $6,000,000 termination fee). The Exchange Agreement also provides that either party may specifically enforce the other party’s obligations under the Exchange Agreement.</w:t>
      </w:r>
    </w:p>
    <w:p>
      <w:pPr>
        <w:spacing w:after="0" w:line="166" w:lineRule="exact"/>
        <w:rPr>
          <w:sz w:val="20"/>
          <w:szCs w:val="20"/>
          <w:color w:val="auto"/>
        </w:rPr>
      </w:pPr>
    </w:p>
    <w:p>
      <w:pPr>
        <w:ind w:left="380" w:right="100"/>
        <w:spacing w:after="0" w:line="263" w:lineRule="auto"/>
        <w:rPr>
          <w:sz w:val="20"/>
          <w:szCs w:val="20"/>
          <w:color w:val="auto"/>
        </w:rPr>
      </w:pPr>
      <w:r>
        <w:rPr>
          <w:rFonts w:ascii="Arial" w:cs="Arial" w:eastAsia="Arial" w:hAnsi="Arial"/>
          <w:sz w:val="14"/>
          <w:szCs w:val="14"/>
          <w:color w:val="auto"/>
        </w:rPr>
        <w:t>Pursuant to the Exchange Agreement, the Company and Lender shall take all actions as may be necessary to cause, upon the Closing, the Board to consist of seven members, including Ms. Hyman, a director selected by Ms. Hyman and approved by the Investor Group, a director designated by Nexus, a director designated by Story3 and three directors designated by the Board and subject to the approval of the Investor Majority (as defined in the Investor Rights Agreement).</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New Credit Agreement Terms</w:t>
      </w:r>
    </w:p>
    <w:p>
      <w:pPr>
        <w:spacing w:after="0" w:line="198"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The New Credit Agreement, when entered into in accordance with the terms of the Exchange Agreement, will amend and restate the 2025 Amended Facility and provide for $120 million in aggregate principal amount of term loans comprised of (x) $100 million of Exchange Consideration Term Loans and (y) $20 million of new money term loans to be provided by the Investor Group at the Closing (the “New Money Term Loans”). All such term loans would mature on the fourth anniversary of the Closing and bear interest, at the Company’s option, at either (i) a bank reference rate, plus 4.00% or (ii) term SOFR plus 5.00%, in each case per annum. The New Credit Agreement would also modify the 2025 Amended Facility in certain other respects, including by temporarily reducing the minimum liquidity maintenance covenant from $30 million to $15 million, which reduced minimum liquidity maintenance covenant applies during the period from the Closing until February 20, 2027 and thereafter reverts to $30 million.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Debt and Equity Purchase Agreement</w:t>
      </w:r>
    </w:p>
    <w:p>
      <w:pPr>
        <w:spacing w:after="0" w:line="198"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Pursuant to the Debt and Equity Purchase Agreement, subject to the terms and conditions thereof, each of Nexus and Story3 has agreed to enter into the New Credit Agreement, to provide its share of the New Money Term Loans, and to purchase (i) $15 million of the Exchange Consideration Term Loans and (ii) 15% of the Exchange Stock from Lender for an aggregate purchase price of $15 million immediately following the Closing. Consummation of the sale transactions under the Debt and Equity Purchase Agreement is conditioned only on the substantially simultaneous closing of the Exchange Transactions.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Debt and Equity Purchase Agreement is not expected to have an impact on the Company’s consolidated financial statements.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Investor Rights Agreement</w:t>
      </w:r>
    </w:p>
    <w:p>
      <w:pPr>
        <w:spacing w:after="0" w:line="198" w:lineRule="exact"/>
        <w:rPr>
          <w:sz w:val="20"/>
          <w:szCs w:val="20"/>
          <w:color w:val="auto"/>
        </w:rPr>
      </w:pPr>
    </w:p>
    <w:p>
      <w:pPr>
        <w:ind w:left="380"/>
        <w:spacing w:after="0" w:line="256" w:lineRule="auto"/>
        <w:rPr>
          <w:sz w:val="20"/>
          <w:szCs w:val="20"/>
          <w:color w:val="auto"/>
        </w:rPr>
      </w:pPr>
      <w:r>
        <w:rPr>
          <w:rFonts w:ascii="Arial" w:cs="Arial" w:eastAsia="Arial" w:hAnsi="Arial"/>
          <w:sz w:val="14"/>
          <w:szCs w:val="14"/>
          <w:color w:val="auto"/>
        </w:rPr>
        <w:t>Pursuant to the Investor Rights Agreement, which takes effect upon the closing of the Exchange Transactions, the Company will be required to prepare and file with the SEC, within 20 days following the Closing, a shelf registration statement registering the resale of Class A common stock held by Ms. Hyman and the Investor Group, and will grant certain demand, piggyback and shelf registration rights to Ms. Hyman and the Investor Group. The Investor Rights Agreement also provides for certain Board designation rights of the Investor Group and Ms. Hyman following the Closing.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she will be designated as a member of the Board, and, for so long as she continues to own a specified minimum number of Class A common stock, Ms. Hyman will be entitled to appoint one additional director to the Board, subject to the reasonable approval of the Investor Majority. Subject to certain minimum ownership thresholds, each of Ms. Hyman, Nexus and Story3 would also be entitled to appoint a non-voting Board observer, and the Lender would be entitled to appoint two non-voting Board observers; provided, that (i) each of Story3 and Nexus shall have the right to designate one Board observer in total pursuant to the Investor Rights Agreement and the New Credit Agreement and (ii) the Lender shall have the right to designate two Board observers in total pursuant to the Investor Rights Agreement and the New Credit Agreement.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Rights Offering Backstop Agreement</w:t>
      </w:r>
    </w:p>
    <w:p>
      <w:pPr>
        <w:spacing w:after="0" w:line="198"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Pursuant to the Exchange Agreement, the Company has agreed to prepare and file with the SEC a registration statement on Form S-1 in connection with a $12,500,000 rights offering by the Company (the “Rights Offering”). Under the Rights Offering Backstop Agreement, the Investor Group agreed to purchase from the Company, at a price of $4.08 per share, all unsubscribed shares of the Class A common stock to be issued in connection with the Rights Offering, on the terms and subject to the conditions set forth in the Rights Offering Backstop Agreement. The completion of the Rights Offering, as well as the Investor Group’s obligations to complete the purchase of shares pursuant to the Rights Offering Backstop Agreement, are subject to certain customary conditions, including among others, that a registration statement with respect to the Rights Offering has been declared and remains effective and, to the extent required by Nasdaq rules, stockholder approval of the purchase of shares pursuant to the Rights Offering Backstop Agreement.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Fourteenth Amendment</w:t>
      </w:r>
    </w:p>
    <w:p>
      <w:pPr>
        <w:spacing w:after="0" w:line="198" w:lineRule="exact"/>
        <w:rPr>
          <w:sz w:val="20"/>
          <w:szCs w:val="20"/>
          <w:color w:val="auto"/>
        </w:rPr>
      </w:pPr>
    </w:p>
    <w:p>
      <w:pPr>
        <w:ind w:left="380" w:right="60"/>
        <w:spacing w:after="0" w:line="259" w:lineRule="auto"/>
        <w:rPr>
          <w:sz w:val="20"/>
          <w:szCs w:val="20"/>
          <w:color w:val="auto"/>
        </w:rPr>
      </w:pPr>
      <w:r>
        <w:rPr>
          <w:rFonts w:ascii="Arial" w:cs="Arial" w:eastAsia="Arial" w:hAnsi="Arial"/>
          <w:sz w:val="14"/>
          <w:szCs w:val="14"/>
          <w:color w:val="auto"/>
        </w:rPr>
        <w:t>Concurrently with entry into the Exchange Agreement, the Company entered into a Fourteenth Amendment to the 2025 Amended Facility. The Fourteenth Amendment provides that, until the earliest of (a) February 20, 2026 (which may be extended if agreed to by the parties), (b) termination of the Exchange Agreement (or 30 days after the termination of the Exchange Agreement under certain conditions), and (c) the Closing (“Relief Termination Date”), (i) interest that would otherwise be payable in cash will be capitalized and (ii) the liquidity financial covenant level will be reduced to $15 million. In addition, the Fourteenth Amendment increases the number of Board observers permitted to be designated by the Agent from one to two and defers the operation of certain other financial covenants until the end of the fiscal year ending January 31, 2026. Relief under the Fourteenth Amendment generally continues until the earliest of the Outside Date (as defined in the Exchange Agreement), termination of the Exchange Agreement (with an additional 30-day relief period in certain circumstances) and the occurrence of the Closing.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8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Management Incentive Plan</w:t>
      </w:r>
    </w:p>
    <w:p>
      <w:pPr>
        <w:spacing w:after="0" w:line="177" w:lineRule="exact"/>
        <w:rPr>
          <w:sz w:val="20"/>
          <w:szCs w:val="20"/>
          <w:color w:val="auto"/>
        </w:rPr>
      </w:pPr>
    </w:p>
    <w:p>
      <w:pPr>
        <w:ind w:left="380" w:right="220"/>
        <w:spacing w:after="0" w:line="249" w:lineRule="auto"/>
        <w:rPr>
          <w:sz w:val="20"/>
          <w:szCs w:val="20"/>
          <w:color w:val="auto"/>
        </w:rPr>
      </w:pPr>
      <w:r>
        <w:rPr>
          <w:rFonts w:ascii="Arial" w:cs="Arial" w:eastAsia="Arial" w:hAnsi="Arial"/>
          <w:sz w:val="14"/>
          <w:szCs w:val="14"/>
          <w:color w:val="auto"/>
        </w:rPr>
        <w:t>The Exchange Agreement requires that the Company take all actions necessary to increase the maximum number of shares of Class A common stock authorized for issuance under the Amended and Restated 2021 Incentive Award Plan, subject to stockholder and Board approval, by a number of shares of Class A common stock (such shares, the “MIP Pool”), equal to approximately 18.3% of the shares of Class A common stock outstanding immediately prior to the Closing, determined on a fully diluted basis.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Amendment to Ms. Hyman’s Employment Agreement</w:t>
      </w:r>
    </w:p>
    <w:p>
      <w:pPr>
        <w:spacing w:after="0" w:line="198" w:lineRule="exact"/>
        <w:rPr>
          <w:sz w:val="20"/>
          <w:szCs w:val="20"/>
          <w:color w:val="auto"/>
        </w:rPr>
      </w:pPr>
    </w:p>
    <w:p>
      <w:pPr>
        <w:jc w:val="both"/>
        <w:ind w:left="380" w:right="160"/>
        <w:spacing w:after="0" w:line="271" w:lineRule="auto"/>
        <w:rPr>
          <w:sz w:val="20"/>
          <w:szCs w:val="20"/>
          <w:color w:val="auto"/>
        </w:rPr>
      </w:pPr>
      <w:r>
        <w:rPr>
          <w:rFonts w:ascii="Arial" w:cs="Arial" w:eastAsia="Arial" w:hAnsi="Arial"/>
          <w:sz w:val="14"/>
          <w:szCs w:val="14"/>
          <w:color w:val="auto"/>
        </w:rPr>
        <w:t>In connection with the entry into the Exchange Agreement and with effectiveness contingent on the Closing, on August 20, 2025, the Company and Ms. Hyman entered into the Amended Employment Agreement. The Amended Employment Agreement provides, among other things, for an initial term that expires on January 31, 2030, subject to automatic one-year extensions unless one party provides the other with notice not more than 90 days prior to the expiration of the term.</w:t>
      </w:r>
    </w:p>
    <w:p>
      <w:pPr>
        <w:spacing w:after="0" w:line="15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Amended Employment Agreement further provides that, within 30 days following the Closing, the Company will grant Ms. Hyman an award from the MIP Pool in respect of 5% of the shares of Class A common stock outstanding immediately following the Closing in accordance with the Exchange Agreement, assuming target-level performance, or 7.5% assuming maximum performance.</w:t>
      </w:r>
    </w:p>
    <w:p>
      <w:pPr>
        <w:spacing w:after="0" w:line="155" w:lineRule="exact"/>
        <w:rPr>
          <w:sz w:val="20"/>
          <w:szCs w:val="20"/>
          <w:color w:val="auto"/>
        </w:rPr>
      </w:pPr>
    </w:p>
    <w:p>
      <w:pPr>
        <w:ind w:left="380" w:right="120"/>
        <w:spacing w:after="0" w:line="260" w:lineRule="auto"/>
        <w:rPr>
          <w:sz w:val="20"/>
          <w:szCs w:val="20"/>
          <w:color w:val="auto"/>
        </w:rPr>
      </w:pPr>
      <w:r>
        <w:rPr>
          <w:rFonts w:ascii="Arial" w:cs="Arial" w:eastAsia="Arial" w:hAnsi="Arial"/>
          <w:sz w:val="14"/>
          <w:szCs w:val="14"/>
          <w:color w:val="auto"/>
        </w:rPr>
        <w:t>In addition, the Amended Employment Agreement reduces the cash severance that Ms. Hyman is eligible to receive. Under the terms of the Amended Employment Agreement, Ms. Hyman will be eligible for a cash severance payment in an amount equal to (i) her applicable “severance multiplier,” multiplied by (ii) her then-current annual base salary and annual target bonus. Her “severance multiplier” will be equal to 1.5 in the event that during either the 12-month period following the Closing or the 24-month period following a “change in control,” her employment is terminated by the Company without “cause” or, in certain specified circumstances, she resigns for “good reason” (each, as defined in the Amended Employment Agreement). Her severance multiplier will be 1.0 in the event that her employment is terminated by the Company without cause or she resigns for good reason other than under the circumstances described in the immediately preceding sentence.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Transaction Bonus Plan Amendment</w:t>
      </w:r>
    </w:p>
    <w:p>
      <w:pPr>
        <w:spacing w:after="0" w:line="198" w:lineRule="exact"/>
        <w:rPr>
          <w:sz w:val="20"/>
          <w:szCs w:val="20"/>
          <w:color w:val="auto"/>
        </w:rPr>
      </w:pPr>
    </w:p>
    <w:p>
      <w:pPr>
        <w:ind w:left="380" w:right="100"/>
        <w:spacing w:after="0" w:line="256" w:lineRule="auto"/>
        <w:rPr>
          <w:sz w:val="20"/>
          <w:szCs w:val="20"/>
          <w:color w:val="auto"/>
        </w:rPr>
      </w:pPr>
      <w:r>
        <w:rPr>
          <w:rFonts w:ascii="Arial" w:cs="Arial" w:eastAsia="Arial" w:hAnsi="Arial"/>
          <w:sz w:val="14"/>
          <w:szCs w:val="14"/>
          <w:color w:val="auto"/>
        </w:rPr>
        <w:t>In connection with the entry into the Exchange Agreement, on August 20, 2025, the Compensation Committee of the Board approved the Amended Transaction Bonus Plan. The Amended Transaction Bonus Plan provides that each participant will no longer be eligible for the participant’s free cash flow bonus and the participant’s base transaction bonus (the “Base Transaction Bonus”) will not be paid in full upon the Closing. Instead, the Base Transaction Bonus will be paid 25% at Closing (the “Closing Installment”), 6.25% on the 18-month, 24-month, 30-month and 36-month anniversaries of the Closing (each, a “Semi-Annual Installment”), with the final 50% becoming payable on the earlier of January 31, 2030, and the date of a change in control (which does not include the Recapitalization Transactions), in the case of the final 50%, based on the satisfaction of financial or stock price-based performance measures (as applicable), provided that the participant remains employed through the date each Base Transaction Bonus installment is paid. The Closing Installment and each Semi-Annual Installment are subject to repayment to the Company, net of taxes paid with respect thereto, if the participant terminates their employment prior to the applicable vesting date other than due to a “good leaver termination” (as defined in the Amended Transaction Bonus Plan). The Closing Installment will vest 25% on each of the first four anniversaries of the Closing, the first Semi-Annual Installment will vest 33% on each of the second, third and fourth anniversary of the Closing, the second and third Semi-Annual Installments will each vest 50% on each of the third and fourth anniversary of the Closing, and the fourth Semi-Annual Installment will fully vest on the fourth anniversary of the Closing.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is currently evaluating the impact of the Recapitalization Transactions on the Company’s prospective consolidated financial statements.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Pre-litigation Dispute Settlement</w:t>
      </w:r>
    </w:p>
    <w:p>
      <w:pPr>
        <w:spacing w:after="0" w:line="81" w:lineRule="exact"/>
        <w:rPr>
          <w:sz w:val="20"/>
          <w:szCs w:val="20"/>
          <w:color w:val="auto"/>
        </w:rPr>
      </w:pPr>
    </w:p>
    <w:p>
      <w:pPr>
        <w:ind w:left="380"/>
        <w:spacing w:after="0" w:line="249" w:lineRule="auto"/>
        <w:rPr>
          <w:sz w:val="20"/>
          <w:szCs w:val="20"/>
          <w:color w:val="auto"/>
        </w:rPr>
      </w:pPr>
      <w:r>
        <w:rPr>
          <w:rFonts w:ascii="Arial" w:cs="Arial" w:eastAsia="Arial" w:hAnsi="Arial"/>
          <w:sz w:val="14"/>
          <w:szCs w:val="14"/>
          <w:color w:val="auto"/>
        </w:rPr>
        <w:t xml:space="preserve">In September 2025, the Company agreed to settle a pre-litigation dispute that existed as of July 31, 2025. The settlement agreement is in the process of being finalized. The full amount of the settlement is expected to be paid directly by the Company’s insurance carriers, subject to an immaterial standard deductible. In accordance with ASC 855, </w:t>
      </w:r>
      <w:r>
        <w:rPr>
          <w:rFonts w:ascii="Arial" w:cs="Arial" w:eastAsia="Arial" w:hAnsi="Arial"/>
          <w:sz w:val="14"/>
          <w:szCs w:val="14"/>
          <w:i w:val="1"/>
          <w:iCs w:val="1"/>
          <w:color w:val="auto"/>
        </w:rPr>
        <w:t>Subsequent Events</w:t>
      </w:r>
      <w:r>
        <w:rPr>
          <w:rFonts w:ascii="Arial" w:cs="Arial" w:eastAsia="Arial" w:hAnsi="Arial"/>
          <w:sz w:val="14"/>
          <w:szCs w:val="14"/>
          <w:color w:val="auto"/>
        </w:rPr>
        <w:t>, the anticipated settlement amount and related insurance proceeds have been recognized in the Company’s financial statements for the quarter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July 31, 2025. The overall impact of the settlement is not material to the Company’s financial statements.</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2025 and the related Management’s Discussion and Analysis of Financial Condition and Results of Operations in our Annual Report on Form 10-K for the fiscal year ended January 31, 2025 (the “2024 Annual Report on Form 10-K”).</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185,102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July 31, 2025. We had 146,373 Active Subscribers as of July 31, 2025. The majority of our revenue is highly recurring and is generated by our subscribers. For the six months ended July 31, 2025 and 2024, respectively, 89% and 89%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Fiscal Second Quarter and Recent Business Highlights:</w:t>
      </w:r>
    </w:p>
    <w:p>
      <w:pPr>
        <w:spacing w:after="0" w:line="92" w:lineRule="exact"/>
        <w:rPr>
          <w:sz w:val="20"/>
          <w:szCs w:val="20"/>
          <w:color w:val="auto"/>
        </w:rPr>
      </w:pPr>
    </w:p>
    <w:p>
      <w:pPr>
        <w:ind w:left="380" w:right="700" w:hanging="248"/>
        <w:spacing w:after="0" w:line="263" w:lineRule="auto"/>
        <w:tabs>
          <w:tab w:leader="none" w:pos="376"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Announced the Recapitalization Transactions</w:t>
      </w:r>
      <w:r>
        <w:rPr>
          <w:rFonts w:ascii="Arial" w:cs="Arial" w:eastAsia="Arial" w:hAnsi="Arial"/>
          <w:sz w:val="14"/>
          <w:szCs w:val="14"/>
          <w:color w:val="auto"/>
        </w:rPr>
        <w:t>. See Note 15 — “Subsequent Events” in the Notes to the Condensed Consolidated Financial Statements for more</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w:t>
      </w:r>
    </w:p>
    <w:p>
      <w:pPr>
        <w:ind w:left="380" w:right="240" w:hanging="248"/>
        <w:spacing w:after="0" w:line="253" w:lineRule="auto"/>
        <w:tabs>
          <w:tab w:leader="none" w:pos="37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Continued deployment of our bold inventory strategy</w:t>
      </w:r>
      <w:r>
        <w:rPr>
          <w:rFonts w:ascii="Arial" w:cs="Arial" w:eastAsia="Arial" w:hAnsi="Arial"/>
          <w:sz w:val="14"/>
          <w:szCs w:val="14"/>
          <w:color w:val="auto"/>
        </w:rPr>
        <w:t>: As of August 2025, we have posted almost twice the inventory units compared to the prior year, with 323% more</w:t>
      </w:r>
      <w:r>
        <w:rPr>
          <w:rFonts w:ascii="Arial" w:cs="Arial" w:eastAsia="Arial" w:hAnsi="Arial"/>
          <w:sz w:val="14"/>
          <w:szCs w:val="14"/>
          <w:b w:val="1"/>
          <w:bCs w:val="1"/>
          <w:color w:val="auto"/>
        </w:rPr>
        <w:t xml:space="preserve"> </w:t>
      </w:r>
      <w:r>
        <w:rPr>
          <w:rFonts w:ascii="Arial" w:cs="Arial" w:eastAsia="Arial" w:hAnsi="Arial"/>
          <w:sz w:val="14"/>
          <w:szCs w:val="14"/>
          <w:color w:val="auto"/>
        </w:rPr>
        <w:t>styles in May, 235% more in June, and 253% more in July. Year to date, we have added thousands of new styles and dozens of new brands to the platform.</w:t>
      </w:r>
    </w:p>
    <w:p>
      <w:pPr>
        <w:ind w:left="380" w:right="360" w:hanging="248"/>
        <w:spacing w:after="0" w:line="261" w:lineRule="auto"/>
        <w:tabs>
          <w:tab w:leader="none" w:pos="37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Increased customer engagement</w:t>
      </w:r>
      <w:r>
        <w:rPr>
          <w:rFonts w:ascii="Arial" w:cs="Arial" w:eastAsia="Arial" w:hAnsi="Arial"/>
          <w:sz w:val="14"/>
          <w:szCs w:val="14"/>
          <w:color w:val="auto"/>
        </w:rPr>
        <w:t>: Engagement with new inventory in the second quarter of fiscal year 2025 overperformed last year across every key metric,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share of views (up 84% year-over-year), hearts per style (up 15% year-over-year), and new units at home (up 57% year-over-year). Second quarter of fiscal year 2025 average subscription net promoter score was up 77% versus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134747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4" w:lineRule="exact"/>
        <w:rPr>
          <w:sz w:val="20"/>
          <w:szCs w:val="20"/>
          <w:color w:val="auto"/>
        </w:rPr>
      </w:pPr>
    </w:p>
    <w:p>
      <w:pPr>
        <w:ind w:right="40" w:firstLine="5"/>
        <w:spacing w:after="0" w:line="194" w:lineRule="auto"/>
        <w:tabs>
          <w:tab w:leader="none" w:pos="108" w:val="left"/>
        </w:tabs>
        <w:numPr>
          <w:ilvl w:val="0"/>
          <w:numId w:val="18"/>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left="380" w:hanging="248"/>
        <w:spacing w:after="0" w:line="260" w:lineRule="auto"/>
        <w:tabs>
          <w:tab w:leader="none" w:pos="37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Increased revenue share units and launched new exclusive brand collaborations</w:t>
      </w:r>
      <w:r>
        <w:rPr>
          <w:rFonts w:ascii="Arial" w:cs="Arial" w:eastAsia="Arial" w:hAnsi="Arial"/>
          <w:sz w:val="14"/>
          <w:szCs w:val="14"/>
          <w:color w:val="auto"/>
        </w:rPr>
        <w:t>: Revenue share units from existing revenue share partners are up 40% year-over-year,</w:t>
      </w:r>
      <w:r>
        <w:rPr>
          <w:rFonts w:ascii="Arial" w:cs="Arial" w:eastAsia="Arial" w:hAnsi="Arial"/>
          <w:sz w:val="14"/>
          <w:szCs w:val="14"/>
          <w:b w:val="1"/>
          <w:bCs w:val="1"/>
          <w:color w:val="auto"/>
        </w:rPr>
        <w:t xml:space="preserve"> </w:t>
      </w:r>
      <w:r>
        <w:rPr>
          <w:rFonts w:ascii="Arial" w:cs="Arial" w:eastAsia="Arial" w:hAnsi="Arial"/>
          <w:sz w:val="14"/>
          <w:szCs w:val="14"/>
          <w:color w:val="auto"/>
        </w:rPr>
        <w:t>and total revenue share units are up 119% year-over-year. We plan to add 80+ new brands in fiscal year 2025, with 56 already launched in the first half of fiscal year 2025, and have launched seven new exclusive brand collaborations year to date.</w:t>
      </w:r>
    </w:p>
    <w:p>
      <w:pPr>
        <w:ind w:left="380" w:right="20" w:hanging="248"/>
        <w:spacing w:after="0" w:line="253" w:lineRule="auto"/>
        <w:tabs>
          <w:tab w:leader="none" w:pos="37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Organic social delivered its strongest quarter in years</w:t>
      </w:r>
      <w:r>
        <w:rPr>
          <w:rFonts w:ascii="Arial" w:cs="Arial" w:eastAsia="Arial" w:hAnsi="Arial"/>
          <w:sz w:val="14"/>
          <w:szCs w:val="14"/>
          <w:color w:val="auto"/>
        </w:rPr>
        <w:t>: Through 11 new social series, a new ‘face of RTR,’ and a fresh approach to our influencer strategy, second quarter</w:t>
      </w:r>
      <w:r>
        <w:rPr>
          <w:rFonts w:ascii="Arial" w:cs="Arial" w:eastAsia="Arial" w:hAnsi="Arial"/>
          <w:sz w:val="14"/>
          <w:szCs w:val="14"/>
          <w:b w:val="1"/>
          <w:bCs w:val="1"/>
          <w:color w:val="auto"/>
        </w:rPr>
        <w:t xml:space="preserve"> </w:t>
      </w:r>
      <w:r>
        <w:rPr>
          <w:rFonts w:ascii="Arial" w:cs="Arial" w:eastAsia="Arial" w:hAnsi="Arial"/>
          <w:sz w:val="14"/>
          <w:szCs w:val="14"/>
          <w:color w:val="auto"/>
        </w:rPr>
        <w:t>of fiscal year 2025 overall engagement with our social media channels is up ~800% year-over-year and views are up 175% year-over-year.</w:t>
      </w:r>
    </w:p>
    <w:p>
      <w:pPr>
        <w:ind w:left="380" w:right="240" w:hanging="248"/>
        <w:spacing w:after="0" w:line="253" w:lineRule="auto"/>
        <w:tabs>
          <w:tab w:leader="none" w:pos="37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Enhanced the subscription experience to be more personalized, rewarding, and engaging</w:t>
      </w:r>
      <w:r>
        <w:rPr>
          <w:rFonts w:ascii="Arial" w:cs="Arial" w:eastAsia="Arial" w:hAnsi="Arial"/>
          <w:sz w:val="14"/>
          <w:szCs w:val="14"/>
          <w:color w:val="auto"/>
        </w:rPr>
        <w:t>: Introduced a new personalized home screen that we estimate will drive a</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increase in engagement, a rewards program with tiered membership perks, and the ability to preview "coming soon" styles.</w:t>
      </w:r>
    </w:p>
    <w:p>
      <w:pPr>
        <w:ind w:left="380" w:right="160" w:hanging="248"/>
        <w:spacing w:after="0" w:line="269" w:lineRule="auto"/>
        <w:tabs>
          <w:tab w:leader="none" w:pos="37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Increased prices of our subscription plans to respond to inflationary and tariff pressures</w:t>
      </w:r>
      <w:r>
        <w:rPr>
          <w:rFonts w:ascii="Arial" w:cs="Arial" w:eastAsia="Arial" w:hAnsi="Arial"/>
          <w:sz w:val="14"/>
          <w:szCs w:val="14"/>
          <w:color w:val="auto"/>
        </w:rPr>
        <w:t>: Implemented first pricing adjustment in three years on August 1, 2025, with</w:t>
      </w:r>
      <w:r>
        <w:rPr>
          <w:rFonts w:ascii="Arial" w:cs="Arial" w:eastAsia="Arial" w:hAnsi="Arial"/>
          <w:sz w:val="14"/>
          <w:szCs w:val="14"/>
          <w:b w:val="1"/>
          <w:bCs w:val="1"/>
          <w:color w:val="auto"/>
        </w:rPr>
        <w:t xml:space="preserve"> </w:t>
      </w:r>
      <w:r>
        <w:rPr>
          <w:rFonts w:ascii="Arial" w:cs="Arial" w:eastAsia="Arial" w:hAnsi="Arial"/>
          <w:sz w:val="14"/>
          <w:szCs w:val="14"/>
          <w:color w:val="auto"/>
        </w:rPr>
        <w:t>an average increase of $2 per item.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July 31, 2025 and 2024, respectively:</w:t>
      </w:r>
    </w:p>
    <w:p>
      <w:pPr>
        <w:spacing w:after="0" w:line="200" w:lineRule="exact"/>
        <w:rPr>
          <w:sz w:val="20"/>
          <w:szCs w:val="20"/>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was $80.9 million and $78.9 million, respectively, representing 2.5% growth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146,373 and 129,073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respectively, representing an increase of 13.4%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146,765 and 137,455 Average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an increase of 6.8%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185,102 and 175,087 ending Total Subscribers (including paused subscribers), respectively, representing an increase of 5.7%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Gross Profit was $24.3 million and $32.4 million, respectively, representing a gross margin of 30.0% and 41.1%,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Loss was $(26.4) million and $(15.6) million, respectively. Net Loss as a percentage of revenue was (32.6)% and (19.8)%,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was $3.6 million and $13.7 million, respectively, representing an Adjusted EBITDA Margin of 4.4% and 17.4%,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achieved the following operating and financial results for the six months ended July 31, 2025 and 2024, respectively:</w:t>
      </w:r>
    </w:p>
    <w:p>
      <w:pPr>
        <w:spacing w:after="0" w:line="200" w:lineRule="exact"/>
        <w:rPr>
          <w:sz w:val="20"/>
          <w:szCs w:val="20"/>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Revenue was $150.5 million and $153.9 million, respectively, representing a change of (2.2)%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Gross Profit was $46.2 million and $60.8 million, respectively, representing a gross margin of 30.7% and 39.5%, respectively;</w:t>
      </w:r>
    </w:p>
    <w:p>
      <w:pPr>
        <w:spacing w:after="0" w:line="93" w:lineRule="exact"/>
        <w:rPr>
          <w:rFonts w:ascii="Arial" w:cs="Arial" w:eastAsia="Arial" w:hAnsi="Arial"/>
          <w:sz w:val="14"/>
          <w:szCs w:val="14"/>
          <w:color w:val="auto"/>
        </w:rPr>
      </w:pPr>
    </w:p>
    <w:p>
      <w:pPr>
        <w:ind w:left="580" w:right="26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Loss was $(52.5) million and $(37.6) million, respectively. Net Loss as a percentage of revenue was (34.9)% and (24.4)%, respectively, and included $0.2 million of restructuring and related charges for the six months ended July 31, 2024;</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EBITDA was $2.3 million and $20.2 million, respectively, representing an Adjusted EBITDA margin of 1.5% and 13.1%, respectively;</w:t>
      </w:r>
    </w:p>
    <w:p>
      <w:pPr>
        <w:spacing w:after="0" w:line="93" w:lineRule="exact"/>
        <w:rPr>
          <w:rFonts w:ascii="Arial" w:cs="Arial" w:eastAsia="Arial" w:hAnsi="Arial"/>
          <w:sz w:val="14"/>
          <w:szCs w:val="14"/>
          <w:color w:val="auto"/>
        </w:rPr>
      </w:pPr>
    </w:p>
    <w:p>
      <w:pPr>
        <w:ind w:left="580" w:right="36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was $(2.2) million and $6.8 million, and net cash used in investing activities was $(30.7) million and $(12.7) million, respectively;</w:t>
      </w:r>
    </w:p>
    <w:p>
      <w:pPr>
        <w:spacing w:after="0" w:line="35"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as a percentage of revenue was (1.5)% and 4.4% and net cash used in investing activities as a percentage of revenue was (20.4)% and (8.3)%, respectively;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Cash and Cash Equivalents was $43.6 million and $76.6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34747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73" w:lineRule="exact"/>
        <w:rPr>
          <w:sz w:val="20"/>
          <w:szCs w:val="20"/>
          <w:color w:val="auto"/>
        </w:rPr>
      </w:pPr>
    </w:p>
    <w:p>
      <w:pPr>
        <w:ind w:left="100" w:hanging="95"/>
        <w:spacing w:after="0"/>
        <w:tabs>
          <w:tab w:leader="none" w:pos="100" w:val="left"/>
        </w:tabs>
        <w:numPr>
          <w:ilvl w:val="0"/>
          <w:numId w:val="22"/>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33" w:lineRule="exact"/>
        <w:rPr>
          <w:sz w:val="20"/>
          <w:szCs w:val="20"/>
          <w:color w:val="auto"/>
        </w:rPr>
      </w:pPr>
    </w:p>
    <w:p>
      <w:pPr>
        <w:ind w:firstLine="5"/>
        <w:spacing w:after="0" w:line="221" w:lineRule="auto"/>
        <w:tabs>
          <w:tab w:leader="none" w:pos="72"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Recapitalization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See Note 15 — “Subsequent Events” in the Notes to the Condensed Consolidated Financial Statements 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an upfront fee and, in most cases, minimal revenue share payments to our brand partners over time.</w:t>
      </w:r>
    </w:p>
    <w:p>
      <w:pPr>
        <w:spacing w:after="0" w:line="53"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fiscal year 2024, 30% of new items were acquired through Wholesale, 48% through Share by RTR and 22% through Exclusive Designs, compared to 39% Wholesale, 33% Share by RTR and 28% Exclusive Designs in fiscal year 2023. In total, approximately 70% of new items were acquired through Share by RTR and Exclusive Designs, our more capital-efficient channels in fiscal year 2024 and approximately 61% in fiscal year 2023.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expect the total percentage of units acquired through our more capital-efficient channels to be largely unchanged in fiscal year 2025 versus fiscal year 2024, with an increase in the percentage of units acquired through our Share by RTR program versus fiscal year 2024. We plan to further decrease the percentage of units acquired through Wholesale and increase the percentage of units acquired through our more capital-efficient channels over the longer term. We expect to incur higher purchases of rental product in fiscal year 2025 relative to fiscal year 2024 in connection with our strategy to approximately double the new rental product added to our site and made available to our customers in fiscal year 2025.</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2024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w:t>
      </w:r>
      <w:r>
        <w:rPr>
          <w:rFonts w:ascii="Arial" w:cs="Arial" w:eastAsia="Arial" w:hAnsi="Arial"/>
          <w:sz w:val="14"/>
          <w:szCs w:val="14"/>
          <w:color w:val="auto"/>
        </w:rPr>
        <w:t>We believe that we have a significant market opportunity to increase our base of subscribers and customers, and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long-term growth depends in large part on our continued ability to acquire and retain subscribers and customers.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Our acquisitions are also reliant on new customer promotions. Our promotional strategy is subject to change depending on business and market conditions. In fiscal year 2024, we focused, and plan to continue to focus in fiscal year 2025, on improving both the availability of and satisfaction with our rental product for our Reserve and Subscription customers.</w:t>
      </w:r>
    </w:p>
    <w:p>
      <w:pPr>
        <w:spacing w:after="0" w:line="5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the depth of our rental product purchases to improve rental product in-stock levels. We increased the depth of our rental product further in fiscal year 2024 and experienced better customer retention for fiscal year 2024 versus fiscal year 2023. In fiscal year 2025, we plan to focus on significantly increasing the quantity and desirability of rental product purchases, which we believe will increase customer satisfaction and improve retention further. We are also focused on new product features as well as more personal customer service and styling.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92"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See “—Our Product Acquisition Strategy” above for a description of the three ways in which we procure products. We continuously evaluate our product acquisition mix to maximize our strategic priorities.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2024 was 16% as a result of a greater proportion of rental product acquired through our Share by RTR channel combined with fewer units of rental product purchased compared to fiscal year 2023. Purchases of rental product as a percentage of revenue was 26% and 21% in fiscal year 2023 and 2022, respectively. We anticipate this percentage to increase in fiscal year 2025 compared with fiscal year 2024, despite a greater proportion of Share by RTR units, due to a significant increase in units of rental product purchased. Due to seasonality factors, we track our progress on purchases of rental product as a percentage of revenue on a full year basis, as quarterly expenditures are not necessarily reflective of full year trends. As of July 31, 2025, the quarterly and annual spend levels for rental product capital expenditures for fiscal year 2025 under our 2025 Amended Facility were eliminated under the Fourteenth Amendment to the debt facility. See “Note 15 - Subsequent Events” in the Notes to the Condensed Consolidated Financial Statements for more details.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that generated total annual operating expense savings of approximately $12 million, which primarily included the reduction in force, with some open role closures/reduced backfills, and excludes potential hiring of new employees or other additions to the Company’s costs and expenses. Though we anticipate quarterly fluctuations in operating leverage over time we anticipate that our operating costs will grow more slowly than our total revenue on an annual basis. As of July 31, 2025, the quarterly and annual spend levels for rental product capital expenditures for fiscal year 2025 under our 2025 Amended Facility were eliminated under the Fourteenth Amendment to the debt facility. See “Note 15 - Subsequent Events” in the Notes to the Condensed Consolidated Financial Statements for more details.</w:t>
      </w:r>
    </w:p>
    <w:p>
      <w:pPr>
        <w:spacing w:after="0" w:line="228"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3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See also “Note 3 - Liquidity” and “Note 15 - Subsequent Events” in the Notes to the Condensed Consolidated Financial Statements for more details regarding our 2025 Amended Facility and Recapitalization Transactions, which we expect to improve our overall liquidity.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offering historically (prior to COVID-19) benefited from increased wedding and holiday events but this seasonality has varied since the onset of COVID-19. For example, in fiscal year 2022, we believe that a price increase of our Subscription programs in April 2022 affected traditional seasonal patterns. In fiscal year 2023, changes in rental product in-stock levels and changes to promotional prices also disrupted typical seasonality. However, in fiscal year 2024, we observed more typical seasonal patterns. Given continued business changes, our future seasonality may not resemble historical trends.</w:t>
      </w:r>
    </w:p>
    <w:p>
      <w:pPr>
        <w:spacing w:after="0" w:line="57"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9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we implemented a price increase for our subscription plans in August 2025 and we remain focused on investing in our customer and delivering even more value to her, and emphasizing the value proposition of our offering in our marketing materials. In addition, we increased wage rates during the first quarter of fiscal year 2025 to attract and retain talent at our fulfillment centers. We expect to continue to be impacted by rising labor costs in the future. Transportation costs decreased as a percentage of revenue in fiscal year 2024 due to higher revenue per order and the benefits of our September 2023 transportation contract with a major national carrier. While we expect to be able to reduce transportation costs as a percentage of revenue for fiscal year 2025, we plan to continue to mitigate longer-term rising costs by seeking to optimize shipping methods and improve contractual and pricing terms; however, unpredictable changes in global trade policies and tariffs or other significant macroeconomic or geopolitical developments may negatively impact our ability to meet our current expectations and objectives. Although we continue to face a challenging and unpredictable environment, we plan to invest in our customers, manage our staffing and further leverage our transportation partners to help to drive growth and efficiencies in our business.</w:t>
      </w:r>
    </w:p>
    <w:p>
      <w:pPr>
        <w:spacing w:after="0" w:line="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4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For additional details about key factors affecting our performance, see our 2024 Annual Report on Form 10-K and Part II, Item 1A, “Risk Factors” of this Quarterly Report on Form 10-Q.</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Three Months Ended July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1"/>
                <w:szCs w:val="11"/>
                <w:b w:val="1"/>
                <w:bCs w:val="1"/>
                <w:color w:val="auto"/>
              </w:rPr>
              <w:t>Six Months Ended July 31,</w:t>
            </w:r>
          </w:p>
        </w:tc>
      </w:tr>
      <w:tr>
        <w:trPr>
          <w:trHeight w:val="150"/>
        </w:trPr>
        <w:tc>
          <w:tcPr>
            <w:tcW w:w="42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2024</w:t>
            </w:r>
          </w:p>
        </w:tc>
      </w:tr>
      <w:tr>
        <w:trPr>
          <w:trHeight w:val="150"/>
        </w:trPr>
        <w:tc>
          <w:tcPr>
            <w:tcW w:w="4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2"/>
          </w:tcPr>
          <w:p>
            <w:pPr>
              <w:jc w:val="right"/>
              <w:ind w:right="493"/>
              <w:spacing w:after="0"/>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2"/>
          </w:tcPr>
          <w:p>
            <w:pPr>
              <w:jc w:val="right"/>
              <w:ind w:right="69"/>
              <w:spacing w:after="0"/>
              <w:rPr>
                <w:sz w:val="20"/>
                <w:szCs w:val="20"/>
                <w:color w:val="auto"/>
              </w:rPr>
            </w:pPr>
            <w:r>
              <w:rPr>
                <w:rFonts w:ascii="Arial" w:cs="Arial" w:eastAsia="Arial" w:hAnsi="Arial"/>
                <w:sz w:val="11"/>
                <w:szCs w:val="11"/>
                <w:b w:val="1"/>
                <w:bCs w:val="1"/>
                <w:color w:val="auto"/>
              </w:rPr>
              <w:t>($ in millions)</w:t>
            </w:r>
          </w:p>
        </w:tc>
        <w:tc>
          <w:tcPr>
            <w:tcW w:w="1020" w:type="dxa"/>
            <w:vAlign w:val="bottom"/>
          </w:tcPr>
          <w:p>
            <w:pPr>
              <w:spacing w:after="0"/>
              <w:rPr>
                <w:sz w:val="13"/>
                <w:szCs w:val="13"/>
                <w:color w:val="auto"/>
              </w:rPr>
            </w:pPr>
          </w:p>
        </w:tc>
      </w:tr>
      <w:tr>
        <w:trPr>
          <w:trHeight w:val="18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146,373</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146,373</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129,073</w:t>
            </w: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9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146,765</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137,455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35"/>
              <w:spacing w:after="0"/>
              <w:rPr>
                <w:sz w:val="20"/>
                <w:szCs w:val="20"/>
                <w:color w:val="auto"/>
              </w:rPr>
            </w:pPr>
            <w:r>
              <w:rPr>
                <w:rFonts w:ascii="Arial" w:cs="Arial" w:eastAsia="Arial" w:hAnsi="Arial"/>
                <w:sz w:val="14"/>
                <w:szCs w:val="14"/>
                <w:color w:val="auto"/>
              </w:rPr>
              <w:t>140,116</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137,455</w:t>
            </w: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0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24.3</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46.2</w:t>
            </w:r>
          </w:p>
        </w:tc>
        <w:tc>
          <w:tcPr>
            <w:tcW w:w="5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35"/>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(26.4)</w:t>
            </w:r>
          </w:p>
        </w:tc>
        <w:tc>
          <w:tcPr>
            <w:tcW w:w="92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(52.5)</w:t>
            </w:r>
          </w:p>
        </w:tc>
        <w:tc>
          <w:tcPr>
            <w:tcW w:w="5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90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2.3</w:t>
            </w:r>
          </w:p>
        </w:tc>
        <w:tc>
          <w:tcPr>
            <w:tcW w:w="5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140" w:hanging="255"/>
        <w:spacing w:after="0" w:line="288" w:lineRule="auto"/>
        <w:tabs>
          <w:tab w:leader="none" w:pos="249" w:val="left"/>
        </w:tabs>
        <w:numPr>
          <w:ilvl w:val="0"/>
          <w:numId w:val="24"/>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July 31, 2025, we had 146,373 Active Subscribers, an increase from 129,073 as of July 31, 2024. The increase in Active Subscribers was driven primarily by higher subscriber acquisitions, increased promotional activity and an improvement in retention during the second quarter of fiscal year 2025 as compared to the prior year as we focused on improving our customer experience through increased rental product and the rollout of multiple product improvements.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July 31, 2025, we had 146,765 Average Active Subscribers, an increase from 137,455 as of July 31, 2024. The year over year increase in Average Active Subscribers was primarily due to the higher base of Ending Active Subscribers at the end of the first quarter of fiscal year 2025 compared to the first quarter of fiscal year 2024, and a higher level of acquisitions, increased promotional activity, and stronger retention in the second quarter of fiscal year 2025 as compared to the prior year.</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6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Gross Profit was $24.3 million for the three months ended July 31, 2025 compared to $32.4 million for the three months ended July 31, 2024, representing Gross Margins of 30.0% and 41.1%, respectively. Gross Profit was $46.2 million for the six months ended July 31, 2025 compared to $ 60.8 million for the six months ended July 31, 2024, representing Gross Margins of 30.7% and 39.5%, respectively. Gross Profit and Gross Margin for the three and six months ended July 31, 2025 decreased primarily due to the impact of higher revenue share costs and fulfillment costs as a percentage of sales.</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assets, non-recurring adjustments, non-ordinary course legal expenses, restructuring charges, income tax (benefit) expense, other income and expense, and other gains / losses. Adjusted EBITDA margin is defined as Adjusted EBITDA calculated as a percentage of total revenue, net for a period.</w:t>
      </w:r>
    </w:p>
    <w:p>
      <w:pPr>
        <w:spacing w:after="0" w:line="159"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Net Loss was $(26.4) million for the three months ended July 31, 2025 compared to $(15.6) million for the three months ended July 31, 2024, representing margins of (32.6)% and (19.8)%, respectively. Net Loss increased year over year primarily due to the impact of higher revenue share costs, G&amp;A expenses, fulfillment costs, technology costs, and a reduction in Other Income, partially offset by an increase in Revenue. Net Loss was $(52.5) million for the six months ended July 31, 2025 compared to $(37.6) million for the six months ended July 31, 2024, representing margins of (34.9)% and (24.4)%, respectively. Net Loss increased year over year primarily due to the impact of higher revenue share costs, lower revenue, higher fulfillment costs, higher interest expense and higher technology costs versus the prior year, partially offset by lower rental product depreciation and write-offs, other depreciation and amortization and marketing expense.</w:t>
      </w:r>
    </w:p>
    <w:p>
      <w:pPr>
        <w:spacing w:after="0" w:line="16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Adjusted EBITDA was $3.6 million for the three months ended July 31, 2025 compared to $13.7 million for the three months ended July 31, 2024, representing margins of 4.4% and 17.4%, respectively. Adjusted EBITDA margin decreased year over year primarily due to higher revenue share and fulfillment costs as a percentage of revenue. Adjusted EBITDA was $2.3 million for the six months ended July 31, 2025 compared to $20.2 million for the six months ended July 31, 2024, representing margins of 1.5% and 13.1%, respectively. Adjusted EBITDA margin decreased year over year primarily due to higher revenue share and fulfillment costs as a percentage of revenue in addition to lower revenue.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We believe we have the opportunity to improve Adjusted EBITDA and offset cost increases as we increase revenue and drive operating expense leverage.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9"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Our total revenue, net consists of Subscription and Reserve rental revenue and Other revenue. Total revenue is presented net of promotional discounts,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credits and refunds and taxes.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We recognize subscription fees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 unrecognized portion of the subscription period is deferred to the following fiscal period. We implemented a price increase for our subscription plans in August 2025, which we expect will generally increase revenue per subscriber over time.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42"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w:t>
      </w:r>
    </w:p>
    <w:p>
      <w:pPr>
        <w:spacing w:after="0" w:line="3"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spacing w:after="0" w:line="155"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6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Marketing expenses unrelated to personnel costs may increase if we increase marketing spend to drive the growth of our business and increase our brand awareness.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fiscal year 2025, we expect G&amp;A expenses to increase in the next several fiscal quarters due to costs relating to the Recapitalization Transactions. We are currently evaluating the impact of the Recapitalization Transactions on our consolidated financial statements.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4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42"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January 2024 restructuring plan.</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issuance cost amortization associated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Amended Facility going forward. The 2023 Amended Temasek Facility eliminated all interest (both payment-in-kind and cash interest) for a period of six full fiscal quarters beginning with the fourth quarter of fiscal year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monetizing tax credits associated with growth and Irish refundable tax credits.</w:t>
      </w:r>
    </w:p>
    <w:p>
      <w:pPr>
        <w:spacing w:after="0" w:line="263"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and foreign taxes. We have established a valuation allowance for our U.S. federal and state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80"/>
          </w:cols>
          <w:pgMar w:left="300" w:top="123" w:right="319" w:bottom="1440" w:gutter="0" w:footer="0" w:header="0"/>
        </w:sectPr>
      </w:pPr>
    </w:p>
    <w:p>
      <w:pPr>
        <w:spacing w:after="0" w:line="171" w:lineRule="exact"/>
        <w:rPr>
          <w:sz w:val="20"/>
          <w:szCs w:val="20"/>
          <w:color w:val="auto"/>
        </w:rPr>
      </w:pPr>
    </w:p>
    <w:p>
      <w:pPr>
        <w:jc w:val="center"/>
        <w:ind w:left="6000"/>
        <w:spacing w:after="0"/>
        <w:rPr>
          <w:sz w:val="20"/>
          <w:szCs w:val="20"/>
          <w:color w:val="auto"/>
        </w:rPr>
      </w:pPr>
      <w:r>
        <w:rPr>
          <w:rFonts w:ascii="Arial" w:cs="Arial" w:eastAsia="Arial" w:hAnsi="Arial"/>
          <w:sz w:val="11"/>
          <w:szCs w:val="11"/>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24765</wp:posOffset>
            </wp:positionV>
            <wp:extent cx="17786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34" w:lineRule="exact"/>
        <w:rPr>
          <w:sz w:val="20"/>
          <w:szCs w:val="20"/>
          <w:color w:val="auto"/>
        </w:rPr>
      </w:pPr>
    </w:p>
    <w:p>
      <w:pPr>
        <w:ind w:left="6400"/>
        <w:spacing w:after="0"/>
        <w:tabs>
          <w:tab w:leader="none" w:pos="782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17780</wp:posOffset>
            </wp:positionV>
            <wp:extent cx="177863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24765</wp:posOffset>
            </wp:positionV>
            <wp:extent cx="16167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34" w:lineRule="exact"/>
        <w:rPr>
          <w:sz w:val="20"/>
          <w:szCs w:val="20"/>
          <w:color w:val="auto"/>
        </w:rPr>
      </w:pPr>
    </w:p>
    <w:p>
      <w:pPr>
        <w:spacing w:after="0"/>
        <w:tabs>
          <w:tab w:leader="none" w:pos="130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17780</wp:posOffset>
            </wp:positionV>
            <wp:extent cx="16167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1"/>
          <w:szCs w:val="11"/>
          <w:b w:val="1"/>
          <w:bCs w:val="1"/>
          <w:color w:val="auto"/>
        </w:rPr>
        <w:t>(in millions)</w:t>
      </w:r>
    </w:p>
    <w:p>
      <w:pPr>
        <w:spacing w:after="0" w:line="28" w:lineRule="exact"/>
        <w:rPr>
          <w:sz w:val="20"/>
          <w:szCs w:val="20"/>
          <w:color w:val="auto"/>
        </w:rPr>
      </w:pPr>
    </w:p>
    <w:p>
      <w:pPr>
        <w:sectPr>
          <w:pgSz w:w="11900" w:h="16838" w:orient="portrait"/>
          <w:cols w:equalWidth="0" w:num="2">
            <w:col w:w="8500" w:space="720"/>
            <w:col w:w="206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134.6</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71"/>
        </w:trPr>
        <w:tc>
          <w:tcPr>
            <w:tcW w:w="586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153.9</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5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58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costs and expenses</w:t>
            </w: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71"/>
        </w:trPr>
        <w:tc>
          <w:tcPr>
            <w:tcW w:w="5860" w:type="dxa"/>
            <w:vAlign w:val="bottom"/>
          </w:tcPr>
          <w:p>
            <w:pPr>
              <w:ind w:left="780"/>
              <w:spacing w:after="0"/>
              <w:rPr>
                <w:sz w:val="20"/>
                <w:szCs w:val="20"/>
                <w:color w:val="auto"/>
              </w:rPr>
            </w:pPr>
            <w:r>
              <w:rPr>
                <w:rFonts w:ascii="Arial" w:cs="Arial" w:eastAsia="Arial" w:hAnsi="Arial"/>
                <w:sz w:val="14"/>
                <w:szCs w:val="14"/>
                <w:color w:val="auto"/>
              </w:rPr>
              <w:t>Operating loss</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 (expense), net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8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 (expense), net</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58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Income tax benefit / (expense)</w:t>
            </w:r>
          </w:p>
        </w:tc>
        <w:tc>
          <w:tcPr>
            <w:tcW w:w="5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6"/>
        </w:trPr>
        <w:tc>
          <w:tcPr>
            <w:tcW w:w="586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loss</w:t>
            </w: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July 31, 2025 and 2024</w:t>
      </w:r>
    </w:p>
    <w:p>
      <w:pPr>
        <w:spacing w:after="0" w:line="9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$80.9 million for the three months ended July 31, 2025, an increase of $2.0 million, or 2.5%, compared to $78.9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2024. This increase was primarily driven by higher Other revenue and higher Subscription and Reserve rental revenue. In fiscal year 2025, we expect revenue to increase due to higher expected subscription prices and as we work towards growing our customer base, improving the customer experience and continuing to focus on our resale revenue.</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$69.2 million for the three months ended July 31, 2025, an increase of $0.7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1.0%, compared to $68.5 million for the three months ended July 31, 2024. This increase was primarily driven by higher Average Active Subscribers, partially offset by a decrease in average revenue per subscriber. The decrease in revenue per subscriber was driven primarily by higher promotional spending and impact of changes in program mix of active subscribers. Reserve rental revenue was largely unchanged year-over-year.</w:t>
      </w:r>
    </w:p>
    <w:p>
      <w:pPr>
        <w:spacing w:after="0" w:line="138"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$ 11.7 million for the three months ended July 31, 2025, an increase of $1.3 million, or 12.5%, compared to $10.4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2024. This increase was primarily driven by an increase in the items purchased per subscriber. Other revenue represented 14.5% of total revenue, up from 13.2% in the same period last year.</w:t>
      </w:r>
    </w:p>
    <w:p>
      <w:pPr>
        <w:spacing w:after="0" w:line="134"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$101.0 million for the three months ended July 31, 2025, an increase of $ 12.5 million, or 14.1%, compared to $ 88.5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months ended July 31, 2024. This increase was primarily driven by higher Rental Product Depreciation and Revenue Share costs, higher Fulfillment costs, and higher Technology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$22.5 million for the three months ended July 31, 2025, an increase of $1.9 million, or 9.2%, representing 27.8%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$20.6 million for the three months ended July 31, 2024, representing 26.1% of revenue. The increase in fulfillment expenses as a percentage of revenue was primarily driven by higher transportation costs due to carrier rate increases and higher warehouse processing costs.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fulfillment expenses as a percentage of total revenue to decrease compared to fiscal year 2024 as a result of anticipated higher revenue per order.</w:t>
      </w:r>
    </w:p>
    <w:p>
      <w:pPr>
        <w:spacing w:after="0" w:line="179"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$9.8 million for the three months ended July 31, 2025, an increase of $1.1 million, or 12.6%, compared to $8.7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2024. Technology expenses were 12.1% of revenue for the three months ended July 31, 2025 compared to 11.0% for the same period last year due to higher technology related employee costs. Technology related share-based compensation expense was $0.2 million for the three months ended July 31, 2025 and was $0.5 million for the same period last year.</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 fiscal year 2025, we expect technology expenses to decrease as a percentage of total revenue compared to fiscal year 2024 as a result of improved operating leverage due to higher expected revenue.</w:t>
      </w:r>
    </w:p>
    <w:p>
      <w:pPr>
        <w:spacing w:after="0" w:line="12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$7.4 million for the three months ended July 31, 2025, a decrease of $(0.4) million, or (5.1)%, compared to $7.8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2024. This decrease was driven primarily by lower consulting costs and lower brand marketing expenses. Marketing expenses unrelated to personnel costs were $6.5 million in the three months ended July 31, 2025 and 8.0% of revenue, compared to $7.1 million and 9.0% of total revenue for the same period last year.</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fiscal year 2025, we expect marketing expenses to decrease in dollars and as a percentage of total revenue compared to fiscal year 2024. The timing of our marketing expenses during the year will depend in part on the timing of marketing campaigns.</w:t>
      </w:r>
    </w:p>
    <w:p>
      <w:pPr>
        <w:spacing w:after="0" w:line="131"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$24.6 million for the three months ended July 31, 2025, an increase of $2.4 million, or 10.8%,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$22.2 million for the three months ended July 31, 2024. This increase was driven primarily by expenses relating to the Recapitalization Transactions, partially offset by lower share-based compensation expense, gain on the liquidation of rental product and gain on asset disposal and lease termination. G&amp;A expenses as a percentage of revenue were 30.4%, compared to 28.1% last year. G&amp;A related share-based compensation expense was $1.2 million for the three months ended July 31, 2025 and was $1.9 million for the three months ended July 31, 2024.</w:t>
      </w:r>
    </w:p>
    <w:p>
      <w:pPr>
        <w:spacing w:after="0" w:line="162" w:lineRule="exact"/>
        <w:rPr>
          <w:sz w:val="20"/>
          <w:szCs w:val="20"/>
          <w:color w:val="auto"/>
        </w:rPr>
      </w:pPr>
    </w:p>
    <w:p>
      <w:pPr>
        <w:ind w:right="320"/>
        <w:spacing w:after="0" w:line="274" w:lineRule="auto"/>
        <w:rPr>
          <w:sz w:val="20"/>
          <w:szCs w:val="20"/>
          <w:color w:val="auto"/>
        </w:rPr>
      </w:pPr>
      <w:r>
        <w:rPr>
          <w:rFonts w:ascii="Arial" w:cs="Arial" w:eastAsia="Arial" w:hAnsi="Arial"/>
          <w:sz w:val="14"/>
          <w:szCs w:val="14"/>
          <w:color w:val="auto"/>
        </w:rPr>
        <w:t>In fiscal year 2025, we expect G&amp;A expenses to increase in the next several fiscal quarters due to costs relating to the Recapitalization Transactions. The Company is currently evaluating the impact of the Recapitalization Transactions on the Company’s consolidated financial statements.</w:t>
      </w:r>
    </w:p>
    <w:p>
      <w:pPr>
        <w:spacing w:after="0" w:line="120"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$34.1 million for the three months ended July 31, 2025, an increase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$8.2 million, or 31.7%, compared to $25.9 million for the three months ended July 31, 2024. The increase was primarily driven by higher Share by RTR units acquired. Rental product depreciation and revenue share was 42.2% of revenue in the three months ended July 31, 2025, up from 32.8% in the same period last year primarily due to the factors discussed above.</w:t>
      </w:r>
    </w:p>
    <w:p>
      <w:pPr>
        <w:spacing w:after="0" w:line="138"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$2.6 million for the three months ended July 31, 2025, a decrease of $ (0.7) million, or (21.2)%,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$3.3 million for the three months ended July 31, 2024. This decrease was primarily driven by lower depreciation and amortization associated with machinery and equipment.</w:t>
      </w:r>
    </w:p>
    <w:p>
      <w:pPr>
        <w:spacing w:after="0" w:line="134"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There were no restructuring charges for the three months ended July 31, 2025 and July 31, 2024 for severance and related costs in connection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2024 restructuring plan.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Restructuring Plan</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January 2024 restructuring plan generated total annual operating expense savings of approximately $12 million, which primarily included the reduction in force, with some open role closures/reduced backfills, and excludes potential hiring of new employees or other additions to the Company’s costs and expenses. The restructuring plan was completed during the first quarter of fiscal year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Note 4, “Restructuring and Related Charges” in the Notes to the Condensed Consolidated Financial Statements for more details on these charges.</w:t>
      </w:r>
    </w:p>
    <w:p>
      <w:pPr>
        <w:spacing w:after="0" w:line="17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$(6.9) million for the three months ended July 31, 2025, an increase in expense of $0.9 million, or 15.0%,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$(6.0) million for the three months ended July 31, 2024. This increase was driven by higher interest from the 2025 Amended Facility, and lower interest earned partially offset by lower debt discount amortization. Of the $ (6.9) million total interest expense in the three months ended July 31, 2025, $(7.2) million of PIK interest, $(3.6) million was the net of cash interest earned, financing lease and other interest and $3.9 million was debt discount amortization, compared to $0.7 million net of cash interest earned, financing lease and other interest and $(6.7) million of debt discount amortization in the three months ended July 31, 2024.</w:t>
      </w:r>
    </w:p>
    <w:p>
      <w:pPr>
        <w:spacing w:after="0" w:line="161"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$0.6 million for the three months ended July 31, 2025 compared to $0.1 million for the three months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July 31, 2024.</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six months ended July 31, 2025 and 2024</w:t>
      </w:r>
    </w:p>
    <w:p>
      <w:pPr>
        <w:spacing w:after="0" w:line="9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$150.5 million for the six months ended July 31, 2025, a decrease of $(3.4) million, or (2.2)%, compared to $153.9 million for the six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July 31, 2024. This decrease was primarily driven by lower Subscription and Reserve rental revenue. In fiscal year 2025, we expect revenue to increase due to higher expected subscription prices and as we work towards growing our customer base, improving the customer experience and continuing to focus on our resale revenue.</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$131.2 million for the six months ended July 31, 2025, a decrease of $(3.4)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(2.5)%, compared to $134.6 million for the six months ended July 31, 2024. This decrease was primarily driven by lower average revenue per subscriber partially offset by higher average subscribers and lower Reserve rental revenue.The decrease in revenue per subscriber was driven primarily by higher promotional spending and the impact of changes in program mix of active subscribers.</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$19.3 million for the six months ended July 31, 2025, flat compared to the six months ended July 31, 2024. Other revenue represented 12.8%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total revenue, up from 12.5% in the same period last year.</w:t>
      </w:r>
    </w:p>
    <w:p>
      <w:pPr>
        <w:spacing w:after="0" w:line="12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$190.3 million for the six months ended July 31, 2025, an increase of $10.3 million, or 5.7%, compared to $180.0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six months ended July 31, 2024. This increase was primarily driven by higher Rental Product Depreciation and Revenue Share costs partially offset by lower General &amp; Administrative costs.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i w:val="1"/>
          <w:iCs w:val="1"/>
          <w:color w:val="auto"/>
        </w:rPr>
        <w:t>Fulfillment.</w:t>
      </w:r>
      <w:r>
        <w:rPr>
          <w:sz w:val="20"/>
          <w:szCs w:val="20"/>
          <w:color w:val="auto"/>
        </w:rPr>
        <w:tab/>
      </w:r>
      <w:r>
        <w:rPr>
          <w:rFonts w:ascii="Arial" w:cs="Arial" w:eastAsia="Arial" w:hAnsi="Arial"/>
          <w:sz w:val="14"/>
          <w:szCs w:val="14"/>
          <w:color w:val="auto"/>
        </w:rPr>
        <w:t>Fulfillment expenses were $42.9 million for the six months ended July 31, 2025, an increase of $1.7 million, or 4.1%, representing 28.5% of revenue, compared to</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$41.2 million for the six months ended July 31, 2024, representing 26.8% of revenue. The increase in fulfillment expenses as a percentage of revenue was primarily driven by higher transportation costs due to carrier rate increases and increases in warehouse processing costs.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fulfillment expenses as a percentage of total revenue to decrease compared to fiscal year 2024 as a result of anticipated higher revenue per order.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$19.4 million for the six months ended July 31, 2025, an increase of $1.1 million, or 6.0%, compared to $18.3 million for the six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2024. Technology expenses were 12.9% of revenue for the six months ended July 31, 2025 compared to 11.9% for the same period last year due to higher technology related employee costs. Technology related share-based compensation expense was $0.5 million for the six months ended July 31, 2025 and was $1.1 million for the same period last year.</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 fiscal year 2025, we expect technology expenses to decrease as a percentage of total revenue compared to fiscal year 2024 as a result of improved operating leverage due to higher expected revenue.</w:t>
      </w:r>
    </w:p>
    <w:p>
      <w:pPr>
        <w:spacing w:after="0" w:line="120"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$16.0 million for the six months ended July 31, 2025, a decrease of $(0.8) million, or (4.8)%, compared to $16.8 million for the six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July 31, 2024. This decrease was driven primarily by lower consulting costs and brand marketing expenses. Marketing expenses unrelated to personnel costs were $14.4 million in the six months ended July 31, 2025 and 9.6% of revenue, compared to $15.3 million and 9.9% of total revenue for the same period last year.</w:t>
      </w:r>
    </w:p>
    <w:p>
      <w:pPr>
        <w:spacing w:after="0" w:line="155"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In fiscal year 2025, we expect marketing expenses to decrease as a percentage of total revenue compared to fiscal year 2024. The timing of our marketing expenses during the year will depend in part on the timing of marketing campaigns.</w:t>
      </w:r>
    </w:p>
    <w:p>
      <w:pPr>
        <w:spacing w:after="0" w:line="131"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$45.3 million for the six months ended July 31, 2025, an increase of $0.3 million, or 0.7%,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$ 45.0 million for the six months ended July 31, 2024. This increase was driven primarily by transaction related expenses partially offset by lower share-based compensation expense, gain on the liquidation of rental product and exchange rate and cost savings from the January 2024 restructuring plan. G&amp;A expenses as a percentage of revenue were 30.1%, compared to 29.2% last year, as we saw increased operating leverage with a lower cost base post-restructuring. G&amp;A related share-based compensation expense was $2.4 million for the six months ended July 31, 2025 and was $4.3 million for the six months ended July 31, 2024.</w:t>
      </w:r>
    </w:p>
    <w:p>
      <w:pPr>
        <w:spacing w:after="0" w:line="162" w:lineRule="exact"/>
        <w:rPr>
          <w:sz w:val="20"/>
          <w:szCs w:val="20"/>
          <w:color w:val="auto"/>
        </w:rPr>
      </w:pPr>
    </w:p>
    <w:p>
      <w:pPr>
        <w:ind w:right="220"/>
        <w:spacing w:after="0" w:line="274" w:lineRule="auto"/>
        <w:rPr>
          <w:sz w:val="20"/>
          <w:szCs w:val="20"/>
          <w:color w:val="auto"/>
        </w:rPr>
      </w:pPr>
      <w:r>
        <w:rPr>
          <w:rFonts w:ascii="Arial" w:cs="Arial" w:eastAsia="Arial" w:hAnsi="Arial"/>
          <w:sz w:val="14"/>
          <w:szCs w:val="14"/>
          <w:color w:val="auto"/>
        </w:rPr>
        <w:t>In fiscal year 2025, we expect G&amp;A expenses to increase in the next several fiscal quarters due to costs relating to the Recapitalization Transactions. We are currently evaluating the impact of the Recapitalization Transactions on our consolidated financial statements..</w:t>
      </w:r>
    </w:p>
    <w:p>
      <w:pPr>
        <w:spacing w:after="0" w:line="120"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$61.4 million for the six months ended July 31, 2025, an increase of $9.5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or 18.3%, compared to $51.9 million for the six months ended July 31, 2024. The increase was primarily driven by higher Share by RTR units acquired. Rental product depreciation and revenue share was 40.8% of revenue in the six months ended July 31, 2025, up from 33.7% in the same period last year primarily due to the factors discussed above.</w:t>
      </w:r>
    </w:p>
    <w:p>
      <w:pPr>
        <w:spacing w:after="0" w:line="138"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$5.3 million for the six months ended July 31, 2025, a decrease of $ (1.3) million, or (19.7)%,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$6.6 million for the six months ended July 31, 2024. This decrease was primarily driven by lower depreciation and amortization associated with machinery and equipment.</w:t>
      </w:r>
    </w:p>
    <w:p>
      <w:pPr>
        <w:spacing w:after="0" w:line="134"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$0.2 million for the six months ended July 31, 2024 for severance and related costs in connection with the January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 These charges are reflected in Restructuring charges on our Consolidated Statement of Operations.</w:t>
      </w:r>
    </w:p>
    <w:p>
      <w:pPr>
        <w:spacing w:after="0" w:line="120"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$(13.2) million for the six months ended July 31, 2025, an increase in expense of $1.6 million, or 13.8%,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$(11.6) million for the six months ended July 31, 2024. This increase was driven by higher interest from the 2025 Amended Facility and lower interest earned partially offset by lower debt discount amortization. Of the $ (13.2) million total interest expense in the six months ended July 31, 2025, $(7.2) million of PIK interest, $(3.0) million was the net of interest earned, financing lease and other interest and $(3.0) million was debt discount amortization, compared to $1.5 million net of interest earned, financing lease and other interest and ($13.1) million of debt discount amortization in the six months ended July 31, 2024.</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$0.7 million for the six months ended July 31, 2025, an increase of $0.5 million, compared to $0.2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six months ended July 31, 2024.</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Net Loss was $(26.4) million for the three months ended July 31, 2025 compared to $(15.6) million for the three months ended July 31, 2024. Net Loss as a percentage of revenue was (32.6)%, and (19.8)% for the three months ended July 31, 2025 and 2024, respectively. Net Loss was $(52.5) million for the six months ended July 31, 2025 compared to $(37.6) million for the six months ended July 31, 2024. Net Loss as a percentage of revenue was (34.9)%, and (24.4)% for the six months ended July 31, 2025 and 2024, respectively, and included $0.2 million of restructuring and related charges during the six months ended July 31, 2024. Net Loss for the three months ended July 31, 2025 increased year over year primarily due to the impact of higher revenue share costs, G&amp;A expenses, fulfillment</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costs, technology costs, and a reduction in Other Income, partially offset by an increase in Revenue. Net Loss for the six months ended July 31, 2025 increased year over year primarily due to the impact of higher revenue share costs, lower revenue, higher fulfillment costs, higher interest expense and higher technology costs versus the prior year, partially</w:t>
      </w:r>
    </w:p>
    <w:p>
      <w:pPr>
        <w:spacing w:after="0"/>
        <w:rPr>
          <w:sz w:val="20"/>
          <w:szCs w:val="20"/>
          <w:color w:val="auto"/>
        </w:rPr>
      </w:pPr>
      <w:r>
        <w:rPr>
          <w:rFonts w:ascii="Arial" w:cs="Arial" w:eastAsia="Arial" w:hAnsi="Arial"/>
          <w:sz w:val="14"/>
          <w:szCs w:val="14"/>
          <w:color w:val="auto"/>
        </w:rPr>
        <w:t>offset by lower rental product depreciation and write-offs, other depreciation and amortization and marketing expense.</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Our Adjusted EBITDA was $3.6 million for the three months ended July 31, 2025 compared to $13.7 million for the three months ended July 31, 2024, representing margins of 4.4% and 17.4%, respectively. Our Adjusted EBITDA was $2.3 million for the six months ended July 31, 2025 compared to $20.2 million for the six months ended July 31, 2024, representing margins of 1.5% and 13.1%, respectively. Adjusted EBITDA Margin decreased for the three and six months ended July 31, 2025 primarily due to higher revenue share and fulfillment costs as a percentage of revenue.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1"/>
                <w:szCs w:val="11"/>
                <w:b w:val="1"/>
                <w:bCs w:val="1"/>
                <w:color w:val="auto"/>
              </w:rPr>
              <w:t>Three Months Ended July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150"/>
        </w:trPr>
        <w:tc>
          <w:tcPr>
            <w:tcW w:w="43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0"/>
        </w:trPr>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gridSpan w:val="3"/>
          </w:tcPr>
          <w:p>
            <w:pPr>
              <w:jc w:val="right"/>
              <w:ind w:right="594"/>
              <w:spacing w:after="0"/>
              <w:rPr>
                <w:sz w:val="20"/>
                <w:szCs w:val="20"/>
                <w:color w:val="auto"/>
              </w:rPr>
            </w:pPr>
            <w:r>
              <w:rPr>
                <w:rFonts w:ascii="Arial" w:cs="Arial" w:eastAsia="Arial" w:hAnsi="Arial"/>
                <w:sz w:val="11"/>
                <w:szCs w:val="11"/>
                <w:b w:val="1"/>
                <w:bCs w:val="1"/>
                <w:color w:val="auto"/>
              </w:rPr>
              <w:t>(in 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2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2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2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92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(7)</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Income tax (benefit) / expense</w:t>
            </w:r>
          </w:p>
        </w:tc>
        <w:tc>
          <w:tcPr>
            <w:tcW w:w="92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 (8)</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(gains) / losses (9)</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as a percentage of revenue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(32.6)%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(19.8)%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Arial" w:cs="Arial" w:eastAsia="Arial" w:hAnsi="Arial"/>
                <w:sz w:val="14"/>
                <w:szCs w:val="14"/>
                <w:color w:val="auto"/>
              </w:rPr>
              <w:t>(34.9)%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 (10)</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260" w:right="80" w:hanging="255"/>
        <w:spacing w:after="0" w:line="218" w:lineRule="auto"/>
        <w:tabs>
          <w:tab w:leader="none" w:pos="254"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Includes debt discount amortization of $(3.9) million in the three months ended July 31, 2025, $6.7 million in the three months ended July 31, 2024, $3.0 million in the six months ended July 31, 2025 and $13.1 million in the six months ended July 31, 2024.</w:t>
      </w:r>
    </w:p>
    <w:p>
      <w:pPr>
        <w:spacing w:after="0" w:line="75"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5"/>
        </w:numPr>
        <w:rPr>
          <w:rFonts w:ascii="Arial" w:cs="Arial" w:eastAsia="Arial" w:hAnsi="Arial"/>
          <w:sz w:val="7"/>
          <w:szCs w:val="7"/>
          <w:color w:val="auto"/>
        </w:rPr>
      </w:pPr>
      <w:r>
        <w:rPr>
          <w:rFonts w:ascii="Arial" w:cs="Arial" w:eastAsia="Arial" w:hAnsi="Arial"/>
          <w:sz w:val="11"/>
          <w:szCs w:val="11"/>
          <w:color w:val="auto"/>
        </w:rPr>
        <w:t>Reflects non-rental product depreciation and capitalized software amortization.</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Reflects the non-cash expense for share-based compensation.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Non-recurring adjustments for the three and six months ended July 31, 2025 includes $2.0 million of transaction related costs.</w:t>
      </w:r>
    </w:p>
    <w:p>
      <w:pPr>
        <w:spacing w:after="0" w:line="63"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5"/>
        </w:numPr>
        <w:rPr>
          <w:rFonts w:ascii="Arial" w:cs="Arial" w:eastAsia="Arial" w:hAnsi="Arial"/>
          <w:sz w:val="7"/>
          <w:szCs w:val="7"/>
          <w:color w:val="auto"/>
        </w:rPr>
      </w:pPr>
      <w:r>
        <w:rPr>
          <w:rFonts w:ascii="Arial" w:cs="Arial" w:eastAsia="Arial" w:hAnsi="Arial"/>
          <w:sz w:val="11"/>
          <w:szCs w:val="11"/>
          <w:color w:val="auto"/>
        </w:rPr>
        <w:t>Non-ordinary course legal fees for the three and six months ended July 31, 2025 includes $1.4 million and $2.0 million of costs related to securities lawsuits and non-recurring legal fees including transaction related costs.</w:t>
      </w:r>
    </w:p>
    <w:p>
      <w:pPr>
        <w:spacing w:after="0" w:line="96" w:lineRule="exact"/>
        <w:rPr>
          <w:rFonts w:ascii="Arial" w:cs="Arial" w:eastAsia="Arial" w:hAnsi="Arial"/>
          <w:sz w:val="7"/>
          <w:szCs w:val="7"/>
          <w:color w:val="auto"/>
        </w:rPr>
      </w:pPr>
    </w:p>
    <w:p>
      <w:pPr>
        <w:ind w:left="260" w:hanging="255"/>
        <w:spacing w:after="0"/>
        <w:tabs>
          <w:tab w:leader="none" w:pos="260" w:val="left"/>
        </w:tabs>
        <w:numPr>
          <w:ilvl w:val="0"/>
          <w:numId w:val="25"/>
        </w:numPr>
        <w:rPr>
          <w:rFonts w:ascii="Arial" w:cs="Arial" w:eastAsia="Arial" w:hAnsi="Arial"/>
          <w:sz w:val="7"/>
          <w:szCs w:val="7"/>
          <w:color w:val="auto"/>
        </w:rPr>
      </w:pPr>
      <w:r>
        <w:rPr>
          <w:rFonts w:ascii="Arial" w:cs="Arial" w:eastAsia="Arial" w:hAnsi="Arial"/>
          <w:sz w:val="11"/>
          <w:szCs w:val="11"/>
          <w:color w:val="auto"/>
        </w:rPr>
        <w:t>Reflects restructuring charges primarily related to severance and related costs in connection with the January 2024 restructuring plan.</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Includes other (income) / expense recognized in the period.</w:t>
      </w:r>
    </w:p>
    <w:p>
      <w:pPr>
        <w:spacing w:after="0" w:line="74" w:lineRule="exact"/>
        <w:rPr>
          <w:rFonts w:ascii="Arial" w:cs="Arial" w:eastAsia="Arial" w:hAnsi="Arial"/>
          <w:sz w:val="15"/>
          <w:szCs w:val="15"/>
          <w:color w:val="auto"/>
          <w:vertAlign w:val="superscript"/>
        </w:rPr>
      </w:pPr>
    </w:p>
    <w:p>
      <w:pPr>
        <w:ind w:left="260" w:right="360" w:hanging="255"/>
        <w:spacing w:after="0" w:line="229" w:lineRule="auto"/>
        <w:tabs>
          <w:tab w:leader="none" w:pos="254" w:val="left"/>
        </w:tabs>
        <w:numPr>
          <w:ilvl w:val="0"/>
          <w:numId w:val="25"/>
        </w:numPr>
        <w:rPr>
          <w:rFonts w:ascii="Arial" w:cs="Arial" w:eastAsia="Arial" w:hAnsi="Arial"/>
          <w:sz w:val="15"/>
          <w:szCs w:val="15"/>
          <w:color w:val="auto"/>
          <w:vertAlign w:val="superscript"/>
        </w:rPr>
      </w:pPr>
      <w:r>
        <w:rPr>
          <w:rFonts w:ascii="Arial" w:cs="Arial" w:eastAsia="Arial" w:hAnsi="Arial"/>
          <w:sz w:val="11"/>
          <w:szCs w:val="11"/>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64"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5"/>
        </w:numPr>
        <w:rPr>
          <w:rFonts w:ascii="Arial" w:cs="Arial" w:eastAsia="Arial" w:hAnsi="Arial"/>
          <w:sz w:val="7"/>
          <w:szCs w:val="7"/>
          <w:color w:val="auto"/>
        </w:rPr>
      </w:pPr>
      <w:r>
        <w:rPr>
          <w:rFonts w:ascii="Arial" w:cs="Arial" w:eastAsia="Arial" w:hAnsi="Arial"/>
          <w:sz w:val="11"/>
          <w:szCs w:val="11"/>
          <w:color w:val="auto"/>
        </w:rPr>
        <w:t>Adjusted EBITDA Margin calculated as Adjusted EBITDA as a percentage of revenue.</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incurred net losses from operations of $(26.4) million and $(52.5) million for the three and six months ended July 31, 2025, respectively, have incurred significant recurring net losses since inception, have an accumulated deficit of $(1,175.5) million as of July 31, 2025, and have historically relied upon debt and equity financing to fund our operations. Our cash flows from operations for the six months ended July 31, 2025 were $(2.2) million. Cash outflows from investing activities were $ (30.7) million for the six months ended July 31, 2025. As of July 31, 2025, we had cash and cash equivalents of $43.6 million, restricted cash of $8.6 million, current liabilities of $68.3 million as of July 31, 2025 and long-term debt of $343.9 million with a maturity date in October 2026. We currently expect that our cash and cash equivalents balance will decline in fiscal year 2025 as a result of our business plans and strategy to significantly increase the quantity and desirability of rental product available to our customers.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We are a borrower under a loan agreement with CHS (US) Management LLC (as successor in interest to Double Helix Pte Ltd.) as administrative agent for Temasek Holdings, and CHS US Investments LLC, as lender (following a debt assignment from Double Helix Pte Ltd. in March 2025). In January 2023, we entered into an amendment and restatement of such facility (the “2022 Amended Temasek Facility”). The 2022 Amended Temasek Facility extended the maturity date from October 2024 to October 2026, reduced cash interest payments by over $ 20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 Temasek Facility. The 2023 Amended Temasek Facility eliminated all interest</w:t>
      </w:r>
    </w:p>
    <w:p>
      <w:pPr>
        <w:spacing w:after="0" w:line="3" w:lineRule="exact"/>
        <w:rPr>
          <w:sz w:val="20"/>
          <w:szCs w:val="20"/>
          <w:color w:val="auto"/>
        </w:rPr>
      </w:pPr>
    </w:p>
    <w:p>
      <w:pPr>
        <w:ind w:right="240"/>
        <w:spacing w:after="0" w:line="229" w:lineRule="auto"/>
        <w:rPr>
          <w:sz w:val="20"/>
          <w:szCs w:val="20"/>
          <w:color w:val="auto"/>
        </w:rPr>
      </w:pPr>
      <w:r>
        <w:rPr>
          <w:rFonts w:ascii="Arial" w:cs="Arial" w:eastAsia="Arial" w:hAnsi="Arial"/>
          <w:sz w:val="14"/>
          <w:szCs w:val="14"/>
          <w:color w:val="auto"/>
        </w:rPr>
        <w:t>(payment-in-kind and cash interest) for six full fiscal quarters beginning with the fourth quarter of fiscal year 2023, reduced the minimum liquidity maintenance covenant from $50 million to $30 million, and provided that the Company may not exceed mutually agreed upon quarterly and annual spend levels for rental product capital, fixed operating, and</w:t>
      </w:r>
    </w:p>
    <w:p>
      <w:pPr>
        <w:ind w:right="100"/>
        <w:spacing w:after="0" w:line="241" w:lineRule="auto"/>
        <w:rPr>
          <w:sz w:val="20"/>
          <w:szCs w:val="20"/>
          <w:color w:val="auto"/>
        </w:rPr>
      </w:pPr>
      <w:r>
        <w:rPr>
          <w:rFonts w:ascii="Arial" w:cs="Arial" w:eastAsia="Arial" w:hAnsi="Arial"/>
          <w:sz w:val="14"/>
          <w:szCs w:val="14"/>
          <w:color w:val="auto"/>
        </w:rPr>
        <w:t>marketing expenditures during fiscal year 2024 of $ 51 million, $100 million (excluding $10 million of specified permitted expenditures), and $30 million, respectively, on an annual basis, and to-be-agreed levels for fiscal years 2025 and 2026, subject to the debt holders’ consent and certain exceptions. The quarterly and annual spend levels for rental product capital, fixed operating, and marketing expenditures for fiscal year 2025 were eliminated under the Fourteenth Amendment to the debt facility. In fiscal year 2025, we have incurred cash and paid-in-kind interest beginning May 1, 2025. For a description of the terms of our current and prior credit agreements, see “Note 7 – Long-Term Debt” in the Notes to the Condensed Consolidated Financial Statements.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On August 20, 2025, the Company entered into an exchange agreement (the “Exchange Agreement”) with its existing lender, CHS US Investments LLC, as part of a broader recapitalization intended to improve the Company’s capital structure, enhance financial flexibility, and extend debt maturities. Upon the closing of the Recapitalization Transactions, the Company shall enter into an amended and restated credit agreement (the “New Credit Agreement”), by and among the Company, as borrower, CHS (US) Management LLC, as administrative agent, and CHS US Investments LLC, Gateway Runway, LLC (“Nexus”) and S3 RR Aggregator, LLC (“Story3”) (collectively, the “Investor Group”). The New Credit Agreement, when entered into in accordance with the terms of the Exchange Agreement, will amend and restate the 2025 Amended Facility and provide for $120 million in aggregate principal amount of term loans comprised of (x) $100 million of the Company’s existing outstanding indebtedness owing to CHS US Investments LLC under the 2025 Amended Facility to be exchanged on a dollar-for-dollar cashless basis for new term loans under the New Credit Agreement and (y) $20 million of new money term loans to be provided by the Investor Group upon the closing of the Recapitalization Transactions. All such term loans would mature on the fourth anniversary of the closing of the Recapitalization Transactions and bear interest, at the Company’s option, at either (i) a bank reference rate plus 4.00% or (ii) term SOFR plus 5.00%, in each case per annum. The New Credit Agreement would modify the 2025 Amended Facility in certain other respects, including by temporarily reducing the minimum liquidity maintenance covenant from $30 million to $15 million through February 20, 2027, after which the original covenant level resumes. Pursuant to the Exchange Agreement, the remaining outstanding indebtedness owing to CHS US Investments LLC under the 2025 Amended Facility would be contributed by CHS US Investments LLC to the Company upon the closing of the Recapitalization Transactions in exchange for newly issued shares of the Company’s Class A common stock, equal to 86% of the Company’s outstanding shares (after giving effect to the Conversions, but before giving effect to the Rights Offering and the MIP Pool). Our total indebtedness as of July 31, 2025 was $343.9 million. See “Note 15 - Subsequent Events” in the Notes to the Condensed Consolidated Financial Statements for more information.</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all. If this occurs, our repayment obligations under the 2025 Amended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w:t>
      </w:r>
    </w:p>
    <w:p>
      <w:pPr>
        <w:spacing w:after="0"/>
        <w:rPr>
          <w:sz w:val="20"/>
          <w:szCs w:val="20"/>
          <w:color w:val="auto"/>
        </w:rPr>
      </w:pPr>
      <w:r>
        <w:rPr>
          <w:rFonts w:ascii="Arial" w:cs="Arial" w:eastAsia="Arial" w:hAnsi="Arial"/>
          <w:sz w:val="14"/>
          <w:szCs w:val="14"/>
          <w:color w:val="auto"/>
        </w:rPr>
        <w:t>of operations, financial condition, and cash flows would be adversely affected.</w:t>
      </w:r>
    </w:p>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(including expected increases in rental product spend due to our planned increase in rental product unit purchases in fiscal year 2025) and the timing of investments in technology and personnel to support the overall growth of our business. We believe our existing cash and cash equivalents, and cash generated from our operations, will be sufficient to sustain our business operations, to satisfy our debt service obligations, and to comply with our debt covenants for at least the next twelve months from the date of this Form 10-Q, assuming the Recapitalization Transactions close.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1"/>
          <w:szCs w:val="11"/>
          <w:b w:val="1"/>
          <w:bCs w:val="1"/>
          <w:color w:val="auto"/>
        </w:rPr>
        <w:t>Six Months Ended</w:t>
      </w:r>
    </w:p>
    <w:p>
      <w:pPr>
        <w:jc w:val="center"/>
        <w:ind w:left="8220"/>
        <w:spacing w:after="0"/>
        <w:rPr>
          <w:sz w:val="20"/>
          <w:szCs w:val="20"/>
          <w:color w:val="auto"/>
        </w:rPr>
      </w:pPr>
      <w:r>
        <w:rPr>
          <w:rFonts w:ascii="Arial" w:cs="Arial" w:eastAsia="Arial" w:hAnsi="Arial"/>
          <w:sz w:val="11"/>
          <w:szCs w:val="11"/>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Borders>
              <w:bottom w:val="single" w:sz="8" w:color="auto"/>
            </w:tcBorders>
          </w:tcPr>
          <w:p>
            <w:pPr>
              <w:spacing w:after="0"/>
              <w:rPr>
                <w:sz w:val="13"/>
                <w:szCs w:val="13"/>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$(32.9) million for the six months ended July 31, 2025 and $(5.9) million for the six months ended July 31, 2024. The cash consumption of the business was higher in the first and second quarters of fiscal year 2025 compared with the same period of fiscal year 2024 primarily due to higher purchases of rental product and higher net loss compared to the prior period. The sum of net cash used in operating activities and net cash used in investing activities, as a percentage of revenue, was (21.9)% for the six months ended July 31, 2025 and (3.8)% for the six months ended July 31, 2024.</w:t>
      </w:r>
    </w:p>
    <w:p>
      <w:pPr>
        <w:spacing w:after="0" w:line="15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six months ended July 31, 2025, net cash provided by operating activities was $(2.2) million, which consisted of a</w:t>
      </w:r>
      <w:r>
        <w:rPr>
          <w:rFonts w:ascii="Arial" w:cs="Arial" w:eastAsia="Arial" w:hAnsi="Arial"/>
          <w:sz w:val="14"/>
          <w:szCs w:val="14"/>
          <w:b w:val="1"/>
          <w:bCs w:val="1"/>
          <w:color w:val="auto"/>
        </w:rPr>
        <w:t xml:space="preserve"> </w:t>
      </w:r>
      <w:r>
        <w:rPr>
          <w:rFonts w:ascii="Arial" w:cs="Arial" w:eastAsia="Arial" w:hAnsi="Arial"/>
          <w:sz w:val="14"/>
          <w:szCs w:val="14"/>
          <w:color w:val="auto"/>
        </w:rPr>
        <w:t>net loss of $(52.5) million, partially offset by non-cash charges of $47.1 million, reclassification of the proceeds from the sale of rental product of $ 11.8 million and a net change of $15.0 million in our operating assets and liabilities. The non-cash charges were primarily comprised of $28.7 million of rental product depreciation and write-off expenses, $7.2 million of payment-in-kind interest, $2.9 million of share-based compensation, $3.0 million of debt discount amortization, and $5.3 million of other fixed and intangible asset depreciation.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For the six months ended July 31, 2024, net cash used in operating activities was $6.8 million, which consisted of a net loss of $(37.6) million, offset by non-cash charges of</w:t>
      </w:r>
    </w:p>
    <w:p>
      <w:pPr>
        <w:spacing w:after="0" w:line="23" w:lineRule="exact"/>
        <w:rPr>
          <w:sz w:val="20"/>
          <w:szCs w:val="20"/>
          <w:color w:val="auto"/>
        </w:rPr>
      </w:pPr>
    </w:p>
    <w:p>
      <w:pPr>
        <w:jc w:val="both"/>
        <w:ind w:right="220"/>
        <w:spacing w:after="0" w:line="261" w:lineRule="auto"/>
        <w:rPr>
          <w:sz w:val="20"/>
          <w:szCs w:val="20"/>
          <w:color w:val="auto"/>
        </w:rPr>
      </w:pPr>
      <w:r>
        <w:rPr>
          <w:rFonts w:ascii="Arial" w:cs="Arial" w:eastAsia="Arial" w:hAnsi="Arial"/>
          <w:sz w:val="14"/>
          <w:szCs w:val="14"/>
          <w:color w:val="auto"/>
        </w:rPr>
        <w:t>$57.0 million, reclassification of the proceeds from the sale of rental product of $ 13.6 million and a net change of $1.0 million in our operating assets and liabilities. The non-cash charges were primarily comprised of $ 31.7 million of rental product depreciation and write-off expenses, $5.4 million of share-based compensation, $13.1 million of debt discount amortization, and $6.8 million of other fixed and intangible asset depreciation.</w:t>
      </w:r>
    </w:p>
    <w:p>
      <w:pPr>
        <w:spacing w:after="0" w:line="140" w:lineRule="exact"/>
        <w:rPr>
          <w:sz w:val="20"/>
          <w:szCs w:val="20"/>
          <w:color w:val="auto"/>
        </w:rPr>
      </w:pPr>
    </w:p>
    <w:p>
      <w:pPr>
        <w:spacing w:after="0"/>
        <w:tabs>
          <w:tab w:leader="none" w:pos="3540" w:val="left"/>
        </w:tabs>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4"/>
          <w:szCs w:val="14"/>
          <w:color w:val="auto"/>
        </w:rPr>
        <w:t>For the six months ended July 31, 2025, net cash used in investing activities was $(30.7) million, primarily consisting of</w:t>
      </w:r>
    </w:p>
    <w:p>
      <w:pPr>
        <w:spacing w:after="0" w:line="23"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$(42.0) million of purchases of rental product incurred in the period and $(2.1) million of purchases of fixed and intangible assets. The investment in rental product does not include an additional $(4.4) million of cost for units received in the current period but not yet paid for, but does include $2.7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$11.8 million of proceeds from the sale of owned rental product and $1.6 million of proceeds from the liquidation of rental product.</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 the six months ended July 31, 2024, net cash used in investing activities was $(12.7) million, primarily consisting of $(26.3) million of purchases of rental product incurred in the period and $(2.2) million of purchases of fixed and intangible assets. The investment in rental product did not include an additional $(0.9) million of cost for units received in the current period but not yet paid for, but did include $1.4 million of cost for units paid for in the current period but received in the prior period (see Supplemental Cash Flow Information in Part I, Item 1. “Financial Statements (Unaudited)”). The investment in rental product was to support our rental product strategy. The majority of the investment in fixed and intangible assets was primarily related to leasehold improvements. The cash used in investing activities was partially offset by $13.6 million of proceeds from the sale of owned rental products and $2.2 million of proceeds from the liquidation of rental product.</w:t>
      </w:r>
    </w:p>
    <w:p>
      <w:pPr>
        <w:spacing w:after="0" w:line="142"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six months ended July 31, 2025, net cash used in financing activities was $(1.4)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During the six months ended July 31, 2024, net cash used in financing activities was $(1.5) million, consisting of other financing payments.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The quarterly and annual spend levels for rental product capital, fixed operating, and marketing expenditures for fiscal year 2025 were eliminated under the Fourteenth Amendment to the debt facility. As of July 31, 2025, we had approximately $343.9 million of total debt outstanding, none of which matures within the next 12 months. See “Note 7 — Long-Term Debt” in the Notes to the Condensed Consolidated Financial Statements for more information. On August 20, 2025, the Company entered into an exchange agreement (the “Exchange Agreement”) with its existing lender, CHS US Investments LLC, as part of a broader recapitalization intended to improve the Company’s capital structure, enhance financial flexibility, and extend debt maturities. See “Note 15 — Subsequent Events” in the Notes to the Condensed Consolidated Financial Statements for more information. See “Note 5 – Leases – Lessee Accounting” in the Notes to the Condensed Consolidated Financial Statements for our minimum fixed lease obligations under existing lease agreements as of July 31, 2025. See “Note 14 - Commitments and Contingencies” in the Notes to the Condensed Consolidated Financial Statements for our minimum purchase commitments for technology services as of July 31, 2025.</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2024 Annual Report on Form 10-K. In the six months ended July 31, 2025, there were no material changes to our critical accounting estimates from those discussed in our 2024 Annual Report on Form 10-K except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Given the Company’s stock price decline during the first and second quarters of fiscal year 2025 and fourth quarter of fiscal year 2024, the Company concluded a triggering event had occurred and performed an impairment analysis of its long-lived assets as of July 31, 2025 and January 31, 2025. Based on the quantitative assessments performed, undiscounted cash flows expected to be generated by the use and eventual disposition of the Company’s long-lived assets exceeded their carrying values and therefore no impairment was recognized for the six months ended July 31, 2025 and year ended January 31, 2025.</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Our quantitative and qualitative disclosures about market risk are described under the heading “Quantitative and Qualitative Disclosures About Market Risk” in our 2024 Annual Report on Form 10-K. In the three months ended July 31, 2025, there were no material changes to our quantitative and qualitative disclosures about market risk from those discussed in our 2024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July 31, 2025 because of the material weaknesses in our internal control over financial reporting described below.</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July 31, 2025, these material weaknesses remain unremediated.</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July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 information contained in “Note 14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Recapitalization Transactions</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If our stockholders fail to approve the required proposals to consummate the Recapitalization Transactions, the Exchange Agreement will be terminated in accordance with its terms, we will not be able to enter into the New Credit Agreement, and we may default on our 2025 Amended Facility, which would have a material adverse effect on our business, financial condition and results of operations and our ability to continue to operate as a going concern.</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incurred a substantial amount of indebtedness to fund our operations, which requires significant interest payments. As of July 31, 2025, we had $343.9 million in outstanding indebtedness under our 2025 Amended Facility that will mature in October 2026. We do not expect that our business will generate sufficient cash flow from operations to repay our indebtedness upon maturity or make other scheduled payments. Further, we are required to comply with various covenants under our 2025 Amended Facility, which we have amended from time to time with the cooperation of our Lender to ensure our continued compliance with such covenants. Any failure to repay our indebtedness, make scheduled payments or comply with the covenants under our 2025 Amended Facility would constitute an event of default.</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(the “Required Proposals”) at a special meeting of stockholders, we will not be able to enter into the New Credit Agreement, impair our ability to continue as a going concern, and we may default under our 2025 Amended Facility. A default would allow our Lender to terminate its loan commitments, accelerate repayment of all obligations under the 2025 Amended Facility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If the Required Proposals are approved, we will issue a significant number of Exchange Stock pursuant to the Exchange Transactions and the Rights Offering Backstop Agreement, which will result in immediate and substantial dilution to our stockholders.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Pursuant to the Exchange Agreement, our Lender would exchange $100 million of existing outstanding indebtedness owing to us under the 2025 Amended Facility on a dollar-for-dollar cashless basis for new term loans under the New Credit Agreement and contribute all outstanding indebtedness owed by us to Lender under the 2025 Amended Facility in excess thereof to us in exchange for newly issued shares of Class A common stock, equal to 86% of the number of shares of our total outstanding common stock as of the Closing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Additionally, under the Exchange Agreement, we agreed to prepare and file with the SEC a registration statement on Form S-1 in connection with a $ 12,500,000 rights offering and entered into the Rights Offering Backstop 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our Lender’s substantial ownership of our capital stock, the Lender may be able to control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w:t>
      </w:r>
    </w:p>
    <w:p>
      <w:pPr>
        <w:spacing w:after="0" w:line="169" w:lineRule="exact"/>
        <w:rPr>
          <w:sz w:val="20"/>
          <w:szCs w:val="20"/>
          <w:color w:val="auto"/>
        </w:rPr>
      </w:pPr>
    </w:p>
    <w:p>
      <w:pPr>
        <w:jc w:val="both"/>
        <w:ind w:right="420"/>
        <w:spacing w:after="0" w:line="276" w:lineRule="auto"/>
        <w:rPr>
          <w:sz w:val="20"/>
          <w:szCs w:val="20"/>
          <w:color w:val="auto"/>
        </w:rPr>
      </w:pPr>
      <w:r>
        <w:rPr>
          <w:rFonts w:ascii="Arial" w:cs="Arial" w:eastAsia="Arial" w:hAnsi="Arial"/>
          <w:sz w:val="14"/>
          <w:szCs w:val="14"/>
          <w:b w:val="1"/>
          <w:bCs w:val="1"/>
          <w:i w:val="1"/>
          <w:iCs w:val="1"/>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43"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If the Required Proposals are approved, we will enter into the New Credit Agreement upon the consummation of the Recapitalization Transactions. The New Credit Agreement will amend and restate the 2025 Amended Facility and contain negative covenants that limit our ability to, among other things, incur additional indebtedness, pay dividends, redeem stock or make other distributions, amend our material agreements, make investments, create liens, make negative pledges, consolidate, merge, sell or other dispose of all or substantially all of our assets, and enter into certain transactions with affiliates. Our obligation to comply with such covenants could decrease our operating flexibility and our ability to achieve our operating objectives, which could have an adverse affect on our business, financial condition and results of operations.</w:t>
      </w:r>
    </w:p>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Further, in the past we have sought waivers and/or concessions from our Lender to ensure our continued compliance with certain covenants under our 2025 Amended Facility, and we may in the future be unable to comply with the covenants under the New Credit Agreement. If we were unable to comply with our covenants and successfully negotiate with our Lender for a waiver or dispensation of such covenants under the New Credit Agreement, we would not be able to borrow under the New Credit Agreement and our Lender would have the right to terminate the loan commitments under the New Credit Agreement and accelerate repayment of all outstanding obligations, which would immediately due and payable. While our Lender has previously granted waivers or entered into amendments to the 2025 Amended Facility to avoid certain events of default, there can be no assurance that our Lender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our Lender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must continue to drive revenue growth to be successful. To effectively drive growth, we must continue to enhance customer experience and attract and retain customers (particularly subscribers), iterate our subscription products, manage the interplay between our various offerings,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w:t>
      </w:r>
    </w:p>
    <w:p>
      <w:pPr>
        <w:spacing w:after="0" w:line="164"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enforce our terms of service or collect data or deliver relevant promotions or media, whether due to new regulations or otherwise, may significantly lower our subscription retention rate. We also offer our customers the option to rent or buy items via our Reserve offering and Resale offering, respectively, which we believe is a strong competitive advantage but adds complexity to our business that we must effectively manage to drive growth. Our Subscription plans and offerings do not have demonstrably long track records of success and may not grow as much or as fast as we expect. For example, our active subscriber count decreased year over year in fiscal year 2024 and, although we are focused on growth initiatives, may continue to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anticipate an increase in our year-over-year revenue growth rate in fiscal year 2025, if our growth and/or growth rates do not meet expectations, the perception of our business, financial condition and results of operations by investors and our third-party service providers and brand partners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 and grow our Share by RTR and Exclusive Design offerings;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manage our customer acquisition funnel to avoid disruption to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effective and efficient in our paid marketing;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400" w:hanging="193"/>
        <w:spacing w:after="0" w:line="290" w:lineRule="auto"/>
        <w:tabs>
          <w:tab w:leader="none" w:pos="5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manage the interplay between our offerings, and attract and retain customers;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 and to merchandise it effectively;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price at which we offer our Subscription, Reserve and Resale offerings and our ability to optimize pricing;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3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2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as a result.</w:t>
      </w:r>
    </w:p>
    <w:p>
      <w:pPr>
        <w:spacing w:after="0" w:line="14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fluctuate based on our level of investment and success in our organic and paid marketing initiatives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3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by improving our email marketing performance, by refreshing our lifecycle marketing engine, by increasing paid marketing efficiency, and by focusing on our search engine ranking for relevant keywords. These efforts are ongoing and, although we have seen some positive results, they are subject to change and may not result in a sustained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Paid marketing is a part of our growth strategy and we may determine that significant investment in marketing will be required in the future. However, we reduced our marketing spend, particularly in paid marketing, in fiscal year 2024, which resulted in lower customer acquisitions and revenue.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continued to experience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utilize promotional pricing to attract customers and subscribers who may have heightened price sensitivity and who may not be willing to pay full price for our offering when the promotion period expires. Our promotional strategy changes regularly and is subject to experimentation. For example, in the first half of 2025, we have provided a free membership month to certain new and lapsed customers, who may or may not continue their subscription when their free month expires.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spacing w:after="0" w:line="55"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right="56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merchandising, and rental product availability;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reliability;</w:t>
      </w:r>
    </w:p>
    <w:p>
      <w:pPr>
        <w:spacing w:after="0" w:line="93" w:lineRule="exact"/>
        <w:rPr>
          <w:rFonts w:ascii="Arial" w:cs="Arial" w:eastAsia="Arial" w:hAnsi="Arial"/>
          <w:sz w:val="14"/>
          <w:szCs w:val="14"/>
          <w:color w:val="auto"/>
        </w:rPr>
      </w:pPr>
    </w:p>
    <w:p>
      <w:pPr>
        <w:ind w:left="580" w:right="62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level of our investment in marketing and the success of our marketing strategies and tactics, including changes in efficiency of our historic or current customer acquisition methods;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future outbreak of disease or public health concern, such as COVID-19; and</w:t>
      </w:r>
    </w:p>
    <w:p>
      <w:pPr>
        <w:spacing w:after="0" w:line="93" w:lineRule="exact"/>
        <w:rPr>
          <w:rFonts w:ascii="Arial" w:cs="Arial" w:eastAsia="Arial" w:hAnsi="Arial"/>
          <w:sz w:val="14"/>
          <w:szCs w:val="14"/>
          <w:color w:val="auto"/>
        </w:rPr>
      </w:pPr>
    </w:p>
    <w:p>
      <w:pPr>
        <w:ind w:left="580" w:right="54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failure (or perceived failure) to meet different and sometimes conflicting stakeholder expectations regarding our environmental, social and governance (“ESG”),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For example, in August 2025 we implemented a price increase for our subscription plans. If our customers no longer perceive our subscription plans as appropriately priced and cancel or pause their subscriptions, our business and financial results could be harmed. We are focused on investing in our customer’s experience and delivering even more value to her, including by focusing on approximately doubling our rental product selection in fiscal year 2025 and emphasizing the value proposition of our offering in our marketing materials, among other initiatives; however these or other initiatives to retain customers may not be successful at improving customer satisfaction, subscriber retention</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and/or revenues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w:t>
      </w:r>
    </w:p>
    <w:p>
      <w:pPr>
        <w:spacing w:after="0"/>
        <w:rPr>
          <w:sz w:val="20"/>
          <w:szCs w:val="20"/>
          <w:color w:val="auto"/>
        </w:rPr>
      </w:pPr>
      <w:r>
        <w:rPr>
          <w:rFonts w:ascii="Arial" w:cs="Arial" w:eastAsia="Arial" w:hAnsi="Arial"/>
          <w:sz w:val="14"/>
          <w:szCs w:val="14"/>
          <w:color w:val="auto"/>
        </w:rPr>
        <w:t>or other reasons. If customers downgrade their subscriptions or make fewer or lower priced rentals, our financial results could be negatively affected.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had a net loss of $(52.5) million and $(69.9) million for the six months ended July 31, 2025 and year ended January 31, 2025, respectively, and have in the past had net losses. As of July 31, 2025, we had an accumulated deficit of $(1,175.5) million. Further, for a variety of reasons, it is difficult for us to predict our future operating results. We will need to generate and sustain increased revenue and manage our costs to achieve profitability. Even if we do, we may not be able to sustain or increase our profitability.</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We expect fiscal year 2025 to be a year of investment as we plan to significantly increase the amount of new rental product we acquire and, therefore, expect to increase our net losses year-over-year. We may also continue to generate net losses in order to:</w:t>
      </w:r>
    </w:p>
    <w:p>
      <w:pPr>
        <w:spacing w:after="0" w:line="53"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enhance our current offerings and 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4"/>
          <w:szCs w:val="14"/>
          <w:color w:val="auto"/>
        </w:rPr>
        <w:t>.</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rental product availability, including depth and breadth levels, has negatively impacted active subscriber retention in the past. Although we expect to approximately double the new rental product added to our site year-over-year in fiscal year 2025, we anticipate quarterly fluctuations to occur due to the timing of our purchases, seasonality and other factors within or outside of our control, which may negatively impact customer retention and, therefore, revenue. Any future decreases in our rental product availability levels, including in connection with other business objectives, may negatively impact active subscribers.</w:t>
      </w:r>
    </w:p>
    <w:p>
      <w:pPr>
        <w:spacing w:after="0" w:line="15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25"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conditions or how primarily relying on a single national carrier may impact customer sentiment and satisfaction, which could lead to unanticipated costs and/or have a material adverse effect on our business and financial condition.</w:t>
      </w:r>
    </w:p>
    <w:p>
      <w:pPr>
        <w:spacing w:after="0" w:line="145"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Customers who do not receive their orders in good condition or on time, or perceive our 3-day shipping promise as too slow, often become dissatisfied and even cease using our services, which may adversely affect our business and operating results if the issues become persistent or impact a significant amount of 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w:t>
      </w:r>
    </w:p>
    <w:p>
      <w:pPr>
        <w:ind w:right="320"/>
        <w:spacing w:after="0" w:line="253" w:lineRule="auto"/>
        <w:rPr>
          <w:sz w:val="20"/>
          <w:szCs w:val="20"/>
          <w:color w:val="auto"/>
        </w:rPr>
      </w:pPr>
      <w:r>
        <w:rPr>
          <w:rFonts w:ascii="Arial" w:cs="Arial" w:eastAsia="Arial" w:hAnsi="Arial"/>
          <w:sz w:val="14"/>
          <w:szCs w:val="14"/>
          <w:color w:val="auto"/>
        </w:rPr>
        <w:t>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4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to offering the ability to return products by dropping off items with our primary third-party shipping vendor, we offer at-home pickup for customers located in multiple markets. Although we have had positive customer feedback and adoption to date, at-home pickup is a newer offering and may not be successful over the long-term.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acquire and manage our products effectively and plan for future expenses, our operating results could be adversely affected.</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We have been focused on expanding our relationships with brand partners and continuing to develop our Exclusive Designs and Share by RTR arrangements, which are our more capital-efficient ways of acquiring rental product, particularly, in light of our 2025 inventory expansion strategy. For our Exclusive Designs, RTR traditionally has sourced the materials and relied upon third-party manufacturing partners to produce products; however, we have updated our Exclusive Designs model and, for fiscal year 2025, certain brands now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have in the past led to,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If we are not able to continue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augmented reality, machine learning, or robotics or more generally evolving trends in e-commerce. For example, we continue to focus on improving the performance of our website and mobile application for our customers, including increasing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48"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fiscal year 2025, we plan to approximately double our rental product added on our site. We have also recently introduced enhanced features such as a new rewards program and personalized home page. These new offerings and updates do not have demonstrably long track records of success for us and could result in higher costs, not meet our expectations and goals, and/or have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31"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46"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80" w:right="100" w:hanging="193"/>
        <w:spacing w:after="0" w:line="271"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seasonality of our business;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have taken and plan to continue to take actions intended to drive efficiencies and maintain a cost structure that aligns with our business and financial objectives.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53"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growth, cash flow and profitability goals;</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28"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Scrutiny and evolving expectations from consumers, investors, regulators, policymakers, employees and other stakeholders regarding environmental, social and governance matters may adversely impact our business and reputation.</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There has been heightened and sometimes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242"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Chair, Chief Executive Officer and President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Although we have implemented different types of programs with a goal of incentivizing our employees, such as a stock option exchange in 2023 and a Transaction Bonus Plan in 2024 that is intended to incentivize performance of key executives and encourage the realization of a qualifying transaction (as defined in the plan),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48"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have continued to shift to a more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 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spacing w:after="0" w:line="35" w:lineRule="exact"/>
        <w:rPr>
          <w:sz w:val="20"/>
          <w:szCs w:val="20"/>
          <w:color w:val="auto"/>
        </w:rPr>
      </w:pPr>
    </w:p>
    <w:p>
      <w:pPr>
        <w:ind w:left="580" w:right="60" w:hanging="193"/>
        <w:spacing w:after="0" w:line="271"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to maintain and/or improve employee morale and engagement for a variety of reasons, including, but not limited to,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272"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w:t>
      </w:r>
    </w:p>
    <w:p>
      <w:pPr>
        <w:ind w:right="220"/>
        <w:spacing w:after="0" w:line="238" w:lineRule="auto"/>
        <w:rPr>
          <w:sz w:val="20"/>
          <w:szCs w:val="20"/>
          <w:color w:val="auto"/>
        </w:rPr>
      </w:pPr>
      <w:r>
        <w:rPr>
          <w:rFonts w:ascii="Arial" w:cs="Arial" w:eastAsia="Arial" w:hAnsi="Arial"/>
          <w:sz w:val="14"/>
          <w:szCs w:val="14"/>
          <w:color w:val="auto"/>
        </w:rPr>
        <w:t>between the United States and other countries with respect to global trade policies, tariffs and treatises. The United States has imposed significant new tariffs on China related to the importation of certain product categories, and other countries may change their business and trade policies in anticipation of or in response to the United States’s increased import tariffs and other changes in U.S. trade policies already enacted or that may be enacted in the future. 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For example, to respond to inflationary and tariff pressures, in August 2025, we implemented increased prices for our subscription plans, which may negatively impact customer perception and/or retention. Any future developments of these issues, or the perception regarding such developments, could increase the costs associated with procuring our rental products, negatively impact our brand partners’ business operations which could 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57"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331"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w:t>
      </w:r>
    </w:p>
    <w:p>
      <w:pPr>
        <w:spacing w:after="0"/>
        <w:rPr>
          <w:sz w:val="20"/>
          <w:szCs w:val="20"/>
          <w:color w:val="auto"/>
        </w:rPr>
      </w:pPr>
      <w:r>
        <w:rPr>
          <w:rFonts w:ascii="Arial" w:cs="Arial" w:eastAsia="Arial" w:hAnsi="Arial"/>
          <w:sz w:val="14"/>
          <w:szCs w:val="14"/>
          <w:color w:val="auto"/>
        </w:rPr>
        <w:t>could limit our access to capital markets and increase our costs of borrowing.</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ind w:right="220"/>
        <w:spacing w:after="0" w:line="242" w:lineRule="auto"/>
        <w:rPr>
          <w:sz w:val="20"/>
          <w:szCs w:val="20"/>
          <w:color w:val="auto"/>
        </w:rPr>
      </w:pPr>
      <w:r>
        <w:rPr>
          <w:rFonts w:ascii="Arial" w:cs="Arial" w:eastAsia="Arial" w:hAnsi="Arial"/>
          <w:sz w:val="14"/>
          <w:szCs w:val="14"/>
          <w:color w:val="auto"/>
        </w:rPr>
        <w:t>As of July 31, 2025, we had $343.9 million aggregate principal amount of borrowings under a credit facility with CHS (US) Management LLC (as successor in interest to Double Helix Pte Ltd. as administrative agent for Temasek Holdings (as subsequently amended, the “2023 Amended Temasek Facility”).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 If we are unable to successfully restructure our long-term debt, our liquidity, results of operations, cash flows, and financial condition may be materially adversely impacted. See Risks Related to the</w:t>
      </w:r>
    </w:p>
    <w:p>
      <w:pPr>
        <w:spacing w:after="0" w:line="3" w:lineRule="exact"/>
        <w:rPr>
          <w:sz w:val="20"/>
          <w:szCs w:val="20"/>
          <w:color w:val="auto"/>
        </w:rPr>
      </w:pPr>
    </w:p>
    <w:p>
      <w:pPr>
        <w:ind w:right="700"/>
        <w:spacing w:after="0" w:line="255" w:lineRule="auto"/>
        <w:rPr>
          <w:sz w:val="20"/>
          <w:szCs w:val="20"/>
          <w:color w:val="auto"/>
        </w:rPr>
      </w:pPr>
      <w:r>
        <w:rPr>
          <w:rFonts w:ascii="Arial" w:cs="Arial" w:eastAsia="Arial" w:hAnsi="Arial"/>
          <w:sz w:val="14"/>
          <w:szCs w:val="14"/>
          <w:color w:val="auto"/>
        </w:rPr>
        <w:t xml:space="preserve">Recapitalization Transactions, Note 7 — Long-Term Debt and Note 15 </w:t>
      </w:r>
      <w:r>
        <w:rPr>
          <w:rFonts w:ascii="Arial" w:cs="Arial" w:eastAsia="Arial" w:hAnsi="Arial"/>
          <w:sz w:val="15"/>
          <w:szCs w:val="15"/>
          <w:color w:val="auto"/>
        </w:rPr>
        <w:t>—</w:t>
      </w:r>
      <w:r>
        <w:rPr>
          <w:rFonts w:ascii="Arial" w:cs="Arial" w:eastAsia="Arial" w:hAnsi="Arial"/>
          <w:sz w:val="14"/>
          <w:szCs w:val="14"/>
          <w:color w:val="auto"/>
        </w:rPr>
        <w:t xml:space="preserve"> Subsequent Events in the Notes to the Condensed Consolidated Financial Statements for more information on our indebtedness and the pending Recapitalization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 xml:space="preserve">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has established plans to preserve existing cash liquidity, which includes additional reductions to labor, operating expenses, and/or capital expenditures. However, these actions will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7 —Long-Term Debt and Note 15 </w:t>
      </w:r>
      <w:r>
        <w:rPr>
          <w:rFonts w:ascii="Arial" w:cs="Arial" w:eastAsia="Arial" w:hAnsi="Arial"/>
          <w:sz w:val="15"/>
          <w:szCs w:val="15"/>
          <w:color w:val="auto"/>
        </w:rPr>
        <w:t>—</w:t>
      </w:r>
      <w:r>
        <w:rPr>
          <w:rFonts w:ascii="Arial" w:cs="Arial" w:eastAsia="Arial" w:hAnsi="Arial"/>
          <w:sz w:val="14"/>
          <w:szCs w:val="14"/>
          <w:color w:val="auto"/>
        </w:rPr>
        <w:t xml:space="preserve"> Subsequent Events in the Notes to the Condensed Consolidated Financial Statements for more information on our indebtedness and the pending Recapitalization Transactions.</w:t>
      </w:r>
    </w:p>
    <w:p>
      <w:pPr>
        <w:spacing w:after="0" w:line="39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Our 2025 Amended Facility contains financial covenants and other restrictions on our actions that may limit our operational flexibility or otherwise adversely affect our business, financial condition and results of operations.</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The terms of our 2025 Amended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2025 Amended Facility includes a minimum liquidity maintenance covenant. These and other restrictions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 xml:space="preserve">companies which are not subject to such restrictions. See Risks Related to the Recapitalization Transactions, Note 7 —Long-Term Debt and Note 15 </w:t>
      </w:r>
      <w:r>
        <w:rPr>
          <w:rFonts w:ascii="Arial" w:cs="Arial" w:eastAsia="Arial" w:hAnsi="Arial"/>
          <w:sz w:val="15"/>
          <w:szCs w:val="15"/>
          <w:color w:val="auto"/>
        </w:rPr>
        <w:t>—</w:t>
      </w:r>
      <w:r>
        <w:rPr>
          <w:rFonts w:ascii="Arial" w:cs="Arial" w:eastAsia="Arial" w:hAnsi="Arial"/>
          <w:sz w:val="14"/>
          <w:szCs w:val="14"/>
          <w:color w:val="auto"/>
        </w:rPr>
        <w:t xml:space="preserve"> Subsequent Events in the Notes to the Condensed Consolidated Financial Statements for more information on our indebtedness and the pending Recapitalization Transactions.</w:t>
      </w:r>
    </w:p>
    <w:p>
      <w:pPr>
        <w:spacing w:after="0" w:line="36"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 failure by us to comply with the covenants specified in the 2025 Amended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 w:cs="Arial" w:eastAsia="Arial" w:hAnsi="Arial"/>
          <w:sz w:val="14"/>
          <w:szCs w:val="14"/>
          <w:color w:val="auto"/>
        </w:rPr>
        <w:t>.</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as described below. As of July 31, 2025,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4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00" w:hanging="193"/>
        <w:spacing w:after="0" w:line="271"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18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21"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jc w:val="both"/>
        <w:ind w:left="60" w:right="160"/>
        <w:spacing w:after="0" w:line="271"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57" w:lineRule="exact"/>
        <w:rPr>
          <w:sz w:val="20"/>
          <w:szCs w:val="20"/>
          <w:color w:val="auto"/>
        </w:rPr>
      </w:pPr>
    </w:p>
    <w:p>
      <w:pPr>
        <w:ind w:right="360"/>
        <w:spacing w:after="0" w:line="302" w:lineRule="auto"/>
        <w:rPr>
          <w:sz w:val="20"/>
          <w:szCs w:val="20"/>
          <w:color w:val="auto"/>
        </w:rPr>
      </w:pPr>
      <w:r>
        <w:rPr>
          <w:rFonts w:ascii="Arial" w:cs="Arial" w:eastAsia="Arial" w:hAnsi="Arial"/>
          <w:sz w:val="14"/>
          <w:szCs w:val="14"/>
          <w:b w:val="1"/>
          <w:bCs w:val="1"/>
          <w:i w:val="1"/>
          <w:iCs w:val="1"/>
          <w:color w:val="auto"/>
        </w:rPr>
        <w:t>The COVID-19 pandemic had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200"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3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w:t>
      </w:r>
      <w:r>
        <w:rPr>
          <w:rFonts w:ascii="Arial" w:cs="Arial" w:eastAsia="Arial" w:hAnsi="Arial"/>
          <w:sz w:val="15"/>
          <w:szCs w:val="15"/>
          <w:color w:val="auto"/>
        </w:rPr>
        <w:t>—</w:t>
      </w:r>
      <w:r>
        <w:rPr>
          <w:rFonts w:ascii="Arial" w:cs="Arial" w:eastAsia="Arial" w:hAnsi="Arial"/>
          <w:sz w:val="14"/>
          <w:szCs w:val="14"/>
          <w:color w:val="auto"/>
        </w:rPr>
        <w:t xml:space="preserve"> Commitments and Contingencies in the Notes to the Condensed Consolidated Financial</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Statements for more details about the class action and other matters.</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In addition, we may be subject to claims of infringement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we have received cease and desist and demand letters from third-parties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industry standards and consumer expectations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31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may not uphold their legal, regulatory or contractual obligations to comply with these data privacy, data security, data protection, or artificial intelligence requirements, thereby exposing us to risks in these areas.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These laws and regulations are complex and evolving. Despite our efforts, we may be subject to claims that we have violated such laws and regulations based on past, present, and future practices, which could have an adverse impact on our business and reputation, and be costly for us to defend. For example, from time to time, we have reviewed and resolved immaterial permitting issues and compliance notices related to our warehouse operations; however, we cannot guarantee that future matters will continue to be immaterial. Failure to comply with such laws and regulations, which tend to become more stringent over time or failure to obtain or maintain permits necessary for our warehouse operations could,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As of January 31, 2025, we had federal net operating loss carryforwards of $654.4 million, $152.1 million of which will expire at various times through 2038. Furthermore, we had state net operating loss carryforwards of $633.2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In 2024, we completed an update to the prior Section 382 analysis covering the period beginning April 2021 through January 2025. From the study, we concluded we did not experience an ownership change during the analysis period. Although we believe the Section 382 analyses are accurate, any errors in the analyses could impact our conclusions and ability to utilize our NOLs effectively. We may have experienced since January 2025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2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have migrated a substantial portion of our primary production environment, core architecture, and data centers to a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w:t>
      </w:r>
    </w:p>
    <w:p>
      <w:pPr>
        <w:spacing w:after="0"/>
        <w:rPr>
          <w:sz w:val="20"/>
          <w:szCs w:val="20"/>
          <w:color w:val="auto"/>
        </w:rPr>
      </w:pPr>
      <w:r>
        <w:rPr>
          <w:rFonts w:ascii="Arial" w:cs="Arial" w:eastAsia="Arial" w:hAnsi="Arial"/>
          <w:sz w:val="14"/>
          <w:szCs w:val="14"/>
          <w:color w:val="auto"/>
        </w:rPr>
        <w:t>these types of disruptions could damage our brand and reputation and may adversely impact our business.</w:t>
      </w:r>
    </w:p>
    <w:p>
      <w:pPr>
        <w:spacing w:after="0" w:line="1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4"/>
          <w:szCs w:val="14"/>
          <w:color w:val="auto"/>
        </w:rPr>
        <w:t>.</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w:t>
      </w:r>
    </w:p>
    <w:p>
      <w:pPr>
        <w:spacing w:after="0" w:line="12" w:lineRule="exact"/>
        <w:rPr>
          <w:sz w:val="20"/>
          <w:szCs w:val="20"/>
          <w:color w:val="auto"/>
        </w:rPr>
      </w:pPr>
    </w:p>
    <w:p>
      <w:pPr>
        <w:ind w:right="720"/>
        <w:spacing w:after="0" w:line="229" w:lineRule="auto"/>
        <w:rPr>
          <w:sz w:val="20"/>
          <w:szCs w:val="20"/>
          <w:color w:val="auto"/>
        </w:rPr>
      </w:pPr>
      <w:r>
        <w:rPr>
          <w:rFonts w:ascii="Arial" w:cs="Arial" w:eastAsia="Arial" w:hAnsi="Arial"/>
          <w:sz w:val="14"/>
          <w:szCs w:val="14"/>
          <w:color w:val="auto"/>
        </w:rPr>
        <w:t>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w:t>
      </w:r>
    </w:p>
    <w:p>
      <w:pPr>
        <w:ind w:right="40"/>
        <w:spacing w:after="0" w:line="239" w:lineRule="auto"/>
        <w:rPr>
          <w:sz w:val="20"/>
          <w:szCs w:val="20"/>
          <w:color w:val="auto"/>
        </w:rPr>
      </w:pPr>
      <w:r>
        <w:rPr>
          <w:rFonts w:ascii="Arial" w:cs="Arial" w:eastAsia="Arial" w:hAnsi="Arial"/>
          <w:sz w:val="14"/>
          <w:szCs w:val="14"/>
          <w:color w:val="auto"/>
        </w:rPr>
        <w:t>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57"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2025 Amended Facility.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the stockholders’ agreement among us and certain stockholders have the effect of concentrating voting control with those stockholders who held our capital stock prior to the listing of our Class A common stock on Nasdaq, including our Co-Founders, and their affiliates, which will limit an investor’s ability to influence corporate matters,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Co-Founder, Chair, CEO and President, Jennifer Y. Hyman, entered into a stockholders’ agreement in connection with our IPO with respect to the election of directors.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holders of our Class B common stock have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into one share of Class A common stock in connection with the Exchange Agreement. See Note 15 — “Subsequent Events” in the Notes to the Condensed Consolidated Financial Statements for more information about the conversion of our Class B common stock in connection with the Recapitalization Transactions. Further, each share of Class B common stock will automatically convert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54"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are required to meet the continued listing requirements of the Nasdaq Global Market and other Nasdaq rules, including those regarding director independence and independent committee requirements, minimum share price and certain other corporate governance requirements.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In addition, on March 27, 2024, we received a letter from Nasdaq indicating that we were no longer in compliance with the minimum market value of listed securities of $ 35,000,000 required for continued listing on The Nasdaq Capital Market (the “Minimum Market Value Rule”). On April 25, 2024, Nasdaq confirmed our transfer to the Nasdaq Global Market and removed the deficiency under the Minimum Market Value Rule.</w:t>
      </w:r>
    </w:p>
    <w:p>
      <w:pPr>
        <w:spacing w:after="0" w:line="144" w:lineRule="exact"/>
        <w:rPr>
          <w:sz w:val="20"/>
          <w:szCs w:val="20"/>
          <w:color w:val="auto"/>
        </w:rPr>
      </w:pPr>
    </w:p>
    <w:p>
      <w:pPr>
        <w:jc w:val="both"/>
        <w:ind w:right="60"/>
        <w:spacing w:after="0" w:line="249" w:lineRule="auto"/>
        <w:rPr>
          <w:sz w:val="20"/>
          <w:szCs w:val="20"/>
          <w:color w:val="auto"/>
        </w:rPr>
      </w:pPr>
      <w:r>
        <w:rPr>
          <w:rFonts w:ascii="Arial" w:cs="Arial" w:eastAsia="Arial" w:hAnsi="Arial"/>
          <w:sz w:val="14"/>
          <w:szCs w:val="14"/>
          <w:color w:val="auto"/>
        </w:rPr>
        <w:t>While we are currently in compliance with the continued listing requirements of The Nasdaq Global Market, there can be no guarantee that we will be able to maintain compliance with these requirements in the future. If we do not meet these continued listing requirements, our Class A common stock could be delisted. Delisting of our Class A common stock from the Nasdaq Global Market could cause us to pursue eligibility for trading on other markets or exchanges, or on the pink sheets. In such case, our stockholders’ ability to trade, or obtain quotations of the market value of, our ordinary shares would be severely limited because of lower trading volumes and transaction delays.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46" w:lineRule="exact"/>
        <w:rPr>
          <w:sz w:val="20"/>
          <w:szCs w:val="20"/>
          <w:color w:val="auto"/>
        </w:rPr>
      </w:pPr>
    </w:p>
    <w:p>
      <w:pPr>
        <w:ind w:left="560" w:hanging="173"/>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4"/>
          <w:szCs w:val="14"/>
          <w:color w:val="auto"/>
        </w:rPr>
        <w:t>the Recapitalization Transactions;</w:t>
      </w:r>
    </w:p>
    <w:p>
      <w:pPr>
        <w:spacing w:after="0" w:line="70" w:lineRule="exact"/>
        <w:rPr>
          <w:rFonts w:ascii="Arial" w:cs="Arial" w:eastAsia="Arial" w:hAnsi="Arial"/>
          <w:sz w:val="16"/>
          <w:szCs w:val="16"/>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 in global trade policies, tariffs and other measures that could restrict international trade;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overall stock market conditions;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impact of COVID-19 or future pandemics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4"/>
          <w:szCs w:val="14"/>
          <w:color w:val="auto"/>
        </w:rPr>
        <w:t>•</w:t>
        <w:tab/>
        <w:t>other events or factors, including those resulting from geopolitical conditions, including war, incidents of terrorism, or responses to these events.</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management has broad discretion, subject to our 2025 Amended Facility and the Exchange Agreement,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1"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 xml:space="preserve">See Risks Related to the Recapitalization Transactions and Note 15 </w:t>
      </w:r>
      <w:r>
        <w:rPr>
          <w:rFonts w:ascii="Arial" w:cs="Arial" w:eastAsia="Arial" w:hAnsi="Arial"/>
          <w:sz w:val="15"/>
          <w:szCs w:val="15"/>
          <w:color w:val="auto"/>
        </w:rPr>
        <w:t>—</w:t>
      </w:r>
      <w:r>
        <w:rPr>
          <w:rFonts w:ascii="Arial" w:cs="Arial" w:eastAsia="Arial" w:hAnsi="Arial"/>
          <w:sz w:val="14"/>
          <w:szCs w:val="14"/>
          <w:color w:val="auto"/>
        </w:rPr>
        <w:t xml:space="preserve"> Subsequent Events in the Notes to the Condensed Consolidated Financial Statements for more information on the pending Recapitalization Transactions, including the anticipated sale and issuance of our common stock.</w:t>
      </w:r>
    </w:p>
    <w:p>
      <w:pPr>
        <w:spacing w:after="0" w:line="2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Generally, 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580" w:right="360" w:hanging="193"/>
        <w:spacing w:after="0" w:line="271"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effects of climate change and related regulatory, customer and investor responses may adversely impact our business.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102" w:lineRule="exact"/>
        <w:rPr>
          <w:sz w:val="20"/>
          <w:szCs w:val="20"/>
          <w:color w:val="auto"/>
        </w:rPr>
      </w:pPr>
    </w:p>
    <w:p>
      <w:pPr>
        <w:ind w:left="600" w:hanging="213"/>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20" w:type="dxa"/>
            <w:vAlign w:val="bottom"/>
            <w:gridSpan w:val="2"/>
          </w:tcPr>
          <w:p>
            <w:pPr>
              <w:ind w:left="340"/>
              <w:spacing w:after="0" w:line="112"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14"/>
          </w:tcPr>
          <w:p>
            <w:pPr>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Filed / Furnished Herewith</w:t>
            </w:r>
          </w:p>
        </w:tc>
        <w:tc>
          <w:tcPr>
            <w:tcW w:w="0" w:type="dxa"/>
            <w:vAlign w:val="bottom"/>
          </w:tcPr>
          <w:p>
            <w:pPr>
              <w:spacing w:after="0"/>
              <w:rPr>
                <w:sz w:val="1"/>
                <w:szCs w:val="1"/>
                <w:color w:val="auto"/>
              </w:rPr>
            </w:pPr>
          </w:p>
        </w:tc>
      </w:tr>
      <w:tr>
        <w:trPr>
          <w:trHeight w:val="214"/>
        </w:trPr>
        <w:tc>
          <w:tcPr>
            <w:tcW w:w="104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Amended &amp; Restated Certificate of Incorporation</w:t>
              </w:r>
            </w:hyperlink>
          </w:p>
        </w:tc>
        <w:tc>
          <w:tcPr>
            <w:tcW w:w="1460" w:type="dxa"/>
            <w:vAlign w:val="bottom"/>
            <w:gridSpan w:val="10"/>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rFonts w:ascii="Arial" w:cs="Arial" w:eastAsia="Arial" w:hAnsi="Arial"/>
                <w:sz w:val="14"/>
                <w:szCs w:val="14"/>
                <w:color w:val="0000FF"/>
              </w:rPr>
            </w:pPr>
            <w:hyperlink r:id="rId167">
              <w:r>
                <w:rPr>
                  <w:rFonts w:ascii="Arial" w:cs="Arial" w:eastAsia="Arial" w:hAnsi="Arial"/>
                  <w:sz w:val="14"/>
                  <w:szCs w:val="14"/>
                  <w:color w:val="0000FF"/>
                </w:rPr>
                <w:t>Certificate of Amendment to Twelfth Amended &amp; Restated Certificate</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04/02/2024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8"/>
              </w:rPr>
            </w:pPr>
            <w:hyperlink r:id="rId167">
              <w:r>
                <w:rPr>
                  <w:rFonts w:ascii="Arial" w:cs="Arial" w:eastAsia="Arial" w:hAnsi="Arial"/>
                  <w:sz w:val="14"/>
                  <w:szCs w:val="14"/>
                  <w:color w:val="0000FF"/>
                  <w:w w:val="98"/>
                </w:rPr>
                <w:t>of Incorporation</w:t>
              </w:r>
            </w:hyperlink>
          </w:p>
        </w:tc>
        <w:tc>
          <w:tcPr>
            <w:tcW w:w="332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rFonts w:ascii="Arial" w:cs="Arial" w:eastAsia="Arial" w:hAnsi="Arial"/>
                <w:sz w:val="14"/>
                <w:szCs w:val="14"/>
                <w:color w:val="0000FF"/>
              </w:rPr>
            </w:pPr>
            <w:hyperlink r:id="rId168">
              <w:r>
                <w:rPr>
                  <w:rFonts w:ascii="Arial" w:cs="Arial" w:eastAsia="Arial" w:hAnsi="Arial"/>
                  <w:sz w:val="14"/>
                  <w:szCs w:val="14"/>
                  <w:color w:val="0000FF"/>
                </w:rPr>
                <w:t>Amended &amp; Restated Bylaws</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Amendment No. 1 to Rent the Runway, Inc. Transaction Bonus Plan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4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Amendment No. 2 to Rent the Runway, Inc. Transaction Bonus Plan</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8/21/2025</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Twelfth Amendment to the Credit Agreement, dated as May 29, 2025,</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2"/>
          </w:tcPr>
          <w:p>
            <w:pPr>
              <w:spacing w:after="0" w:line="139" w:lineRule="exact"/>
              <w:rPr>
                <w:sz w:val="20"/>
                <w:szCs w:val="20"/>
                <w:color w:val="auto"/>
              </w:rPr>
            </w:pPr>
            <w:r>
              <w:rPr>
                <w:rFonts w:ascii="Arial" w:cs="Arial" w:eastAsia="Arial" w:hAnsi="Arial"/>
                <w:sz w:val="14"/>
                <w:szCs w:val="14"/>
                <w:color w:val="0000FF"/>
              </w:rPr>
              <w:t>by and among the Company, the lenders from time to time party</w:t>
            </w: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thereto and CHS (US) Management LLC, as administrative agent</w:t>
            </w:r>
          </w:p>
        </w:tc>
        <w:tc>
          <w:tcPr>
            <w:tcW w:w="420" w:type="dxa"/>
            <w:vAlign w:val="bottom"/>
            <w:gridSpan w:val="7"/>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4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Thirteenth Amendment to the Credit Agreement, dated as of July 31,</w:t>
            </w:r>
          </w:p>
        </w:tc>
        <w:tc>
          <w:tcPr>
            <w:tcW w:w="220" w:type="dxa"/>
            <w:vAlign w:val="bottom"/>
            <w:gridSpan w:val="5"/>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5"/>
          </w:tcPr>
          <w:p>
            <w:pPr>
              <w:spacing w:after="0" w:line="139" w:lineRule="exact"/>
              <w:rPr>
                <w:sz w:val="20"/>
                <w:szCs w:val="20"/>
                <w:color w:val="auto"/>
              </w:rPr>
            </w:pPr>
            <w:r>
              <w:rPr>
                <w:rFonts w:ascii="Arial" w:cs="Arial" w:eastAsia="Arial" w:hAnsi="Arial"/>
                <w:sz w:val="14"/>
                <w:szCs w:val="14"/>
                <w:color w:val="0000FF"/>
              </w:rPr>
              <w:t>2025, by and among the Company, the lenders from time to time party</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thereto and CHS (US) Management LLC, as administrative agent</w:t>
            </w:r>
          </w:p>
        </w:tc>
        <w:tc>
          <w:tcPr>
            <w:tcW w:w="300" w:type="dxa"/>
            <w:vAlign w:val="bottom"/>
            <w:tcBorders>
              <w:top w:val="single" w:sz="8" w:color="0000FF"/>
            </w:tcBorders>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Fourteenth Amendment to the Credit Agreement, dated as of August</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8/21/2025</w:t>
            </w: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5"/>
          </w:tcPr>
          <w:p>
            <w:pPr>
              <w:spacing w:after="0" w:line="149" w:lineRule="exact"/>
              <w:rPr>
                <w:sz w:val="20"/>
                <w:szCs w:val="20"/>
                <w:color w:val="auto"/>
              </w:rPr>
            </w:pPr>
            <w:r>
              <w:rPr>
                <w:rFonts w:ascii="Arial" w:cs="Arial" w:eastAsia="Arial" w:hAnsi="Arial"/>
                <w:sz w:val="14"/>
                <w:szCs w:val="14"/>
                <w:color w:val="auto"/>
              </w:rPr>
              <w:t>20, 2025, by and among the Company, the lenders from time to time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5"/>
          </w:tcPr>
          <w:p>
            <w:pPr>
              <w:spacing w:after="0" w:line="159" w:lineRule="exact"/>
              <w:rPr>
                <w:sz w:val="20"/>
                <w:szCs w:val="20"/>
                <w:color w:val="auto"/>
              </w:rPr>
            </w:pPr>
            <w:r>
              <w:rPr>
                <w:rFonts w:ascii="Arial" w:cs="Arial" w:eastAsia="Arial" w:hAnsi="Arial"/>
                <w:sz w:val="14"/>
                <w:szCs w:val="14"/>
                <w:color w:val="auto"/>
              </w:rPr>
              <w:t>party thereto and CHS (US) Management LLC, as administrative</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agent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Exchange Agreement, dated August 20, 2025, by and between the</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Company and CHS US Investments LLC</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Investor Rights Agreement, dated August 20, 2025, by and among the</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8/21/2025</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5"/>
          </w:tcPr>
          <w:p>
            <w:pPr>
              <w:spacing w:after="0" w:line="149" w:lineRule="exact"/>
              <w:rPr>
                <w:sz w:val="20"/>
                <w:szCs w:val="20"/>
                <w:color w:val="auto"/>
              </w:rPr>
            </w:pPr>
            <w:r>
              <w:rPr>
                <w:rFonts w:ascii="Arial" w:cs="Arial" w:eastAsia="Arial" w:hAnsi="Arial"/>
                <w:sz w:val="14"/>
                <w:szCs w:val="14"/>
                <w:color w:val="auto"/>
              </w:rPr>
              <w:t>Company, CHS US Investments LLC, Gateway Runway, LLC, S3 RR</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Aggregator, LLC and entities affiliated with Jennifer Hyman</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Rights Offering Backstop Agreement, dated August 20, 2025, by and</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8/21/2025</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5"/>
          </w:tcPr>
          <w:p>
            <w:pPr>
              <w:spacing w:after="0" w:line="149" w:lineRule="exact"/>
              <w:rPr>
                <w:sz w:val="20"/>
                <w:szCs w:val="20"/>
                <w:color w:val="auto"/>
              </w:rPr>
            </w:pPr>
            <w:r>
              <w:rPr>
                <w:rFonts w:ascii="Arial" w:cs="Arial" w:eastAsia="Arial" w:hAnsi="Arial"/>
                <w:sz w:val="14"/>
                <w:szCs w:val="14"/>
                <w:color w:val="auto"/>
              </w:rPr>
              <w:t>among the Company and CHS US Investments LLC, Gateway</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Runway, LLC and S3 RR Aggregator, LLC</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40" w:type="dxa"/>
            <w:vAlign w:val="bottom"/>
          </w:tcPr>
          <w:p>
            <w:pPr>
              <w:ind w:left="2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Non-Employee Director Compensation Program</w:t>
            </w:r>
          </w:p>
        </w:tc>
        <w:tc>
          <w:tcPr>
            <w:tcW w:w="1500" w:type="dxa"/>
            <w:vAlign w:val="bottom"/>
            <w:gridSpan w:val="11"/>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040" w:type="dxa"/>
            <w:vAlign w:val="bottom"/>
          </w:tcPr>
          <w:p>
            <w:pPr>
              <w:ind w:left="20"/>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Certification of Chief Executive Officer pursuant to Rule 13a-</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4"/>
                <w:szCs w:val="14"/>
                <w:color w:val="0000FF"/>
                <w:w w:val="98"/>
              </w:rPr>
              <w:t>14(a)/15d-14(a)</w:t>
            </w:r>
          </w:p>
        </w:tc>
        <w:tc>
          <w:tcPr>
            <w:tcW w:w="2800" w:type="dxa"/>
            <w:vAlign w:val="bottom"/>
            <w:tcBorders>
              <w:top w:val="single" w:sz="8" w:color="0000FF"/>
            </w:tcBorders>
            <w:gridSpan w:val="4"/>
          </w:tcPr>
          <w:p>
            <w:pPr>
              <w:spacing w:after="0"/>
              <w:rPr>
                <w:sz w:val="12"/>
                <w:szCs w:val="12"/>
                <w:color w:val="auto"/>
              </w:rPr>
            </w:pPr>
          </w:p>
        </w:tc>
        <w:tc>
          <w:tcPr>
            <w:tcW w:w="4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5"/>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13"/>
          </w:tcPr>
          <w:p>
            <w:pPr>
              <w:spacing w:after="0" w:line="139" w:lineRule="exact"/>
              <w:rPr>
                <w:sz w:val="20"/>
                <w:szCs w:val="20"/>
                <w:color w:val="auto"/>
              </w:rPr>
            </w:pPr>
            <w:r>
              <w:rPr>
                <w:rFonts w:ascii="Arial" w:cs="Arial" w:eastAsia="Arial" w:hAnsi="Arial"/>
                <w:sz w:val="14"/>
                <w:szCs w:val="14"/>
                <w:color w:val="0000FF"/>
              </w:rPr>
              <w:t>14(a)</w:t>
            </w:r>
          </w:p>
        </w:tc>
        <w:tc>
          <w:tcPr>
            <w:tcW w:w="12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Certification of Chief Executive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0000FF"/>
              </w:rPr>
              <w:t>Certification of Chief Financial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0"/>
                <w:szCs w:val="20"/>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5"/>
          </w:tcPr>
          <w:p>
            <w:pPr>
              <w:spacing w:after="0" w:line="149" w:lineRule="exact"/>
              <w:rPr>
                <w:sz w:val="20"/>
                <w:szCs w:val="20"/>
                <w:color w:val="auto"/>
              </w:rPr>
            </w:pPr>
            <w:r>
              <w:rPr>
                <w:rFonts w:ascii="Arial" w:cs="Arial" w:eastAsia="Arial" w:hAnsi="Arial"/>
                <w:sz w:val="14"/>
                <w:szCs w:val="14"/>
                <w:color w:val="auto"/>
              </w:rPr>
              <w:t>appear in the Interactive Data File because its XBRL tags are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embedded within the Inline XBRL document.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2"/>
                <w:szCs w:val="22"/>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Taxonomy Extension Schema Document</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5"/>
          </w:tcPr>
          <w:p>
            <w:pPr>
              <w:spacing w:after="0"/>
              <w:rPr>
                <w:sz w:val="20"/>
                <w:szCs w:val="20"/>
                <w:color w:val="auto"/>
              </w:rPr>
            </w:pPr>
            <w:r>
              <w:rPr>
                <w:rFonts w:ascii="Arial" w:cs="Arial" w:eastAsia="Arial" w:hAnsi="Arial"/>
                <w:sz w:val="14"/>
                <w:szCs w:val="14"/>
                <w:color w:val="auto"/>
              </w:rPr>
              <w:t>contained in Exhibit 101)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08" w:name="page109"/>
    <w:bookmarkEnd w:id="108"/>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September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Siddharth Thacker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100"/>
          </w:cols>
          <w:pgMar w:left="300" w:top="1016" w:right="499" w:bottom="1440"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6980" w:val="left"/>
        </w:tabs>
        <w:rPr>
          <w:sz w:val="20"/>
          <w:szCs w:val="20"/>
          <w:color w:val="auto"/>
        </w:rPr>
      </w:pPr>
      <w:r>
        <w:rPr>
          <w:rFonts w:ascii="Arial" w:cs="Arial" w:eastAsia="Arial" w:hAnsi="Arial"/>
          <w:sz w:val="14"/>
          <w:szCs w:val="14"/>
          <w:color w:val="auto"/>
        </w:rPr>
        <w:t>Date: September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34925</wp:posOffset>
            </wp:positionV>
            <wp:extent cx="372554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42"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September 12,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6"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jc w:val="both"/>
        <w:ind w:right="140"/>
        <w:spacing w:after="0" w:line="248"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July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00" w:val="left"/>
        </w:tabs>
        <w:rPr>
          <w:sz w:val="20"/>
          <w:szCs w:val="20"/>
          <w:color w:val="auto"/>
        </w:rPr>
      </w:pPr>
      <w:r>
        <w:rPr>
          <w:rFonts w:ascii="Times New Roman" w:cs="Times New Roman" w:eastAsia="Times New Roman" w:hAnsi="Times New Roman"/>
          <w:sz w:val="14"/>
          <w:szCs w:val="14"/>
          <w:color w:val="auto"/>
        </w:rPr>
        <w:t>Date: September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6"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July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20" w:val="left"/>
        </w:tabs>
        <w:rPr>
          <w:sz w:val="20"/>
          <w:szCs w:val="20"/>
          <w:color w:val="auto"/>
        </w:rPr>
      </w:pPr>
      <w:r>
        <w:rPr>
          <w:rFonts w:ascii="Times New Roman" w:cs="Times New Roman" w:eastAsia="Times New Roman" w:hAnsi="Times New Roman"/>
          <w:sz w:val="14"/>
          <w:szCs w:val="14"/>
          <w:color w:val="auto"/>
        </w:rPr>
        <w:t>Date: September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5"/>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2"/>
      <w:numFmt w:val="bullet"/>
      <w:start w:val="1"/>
    </w:lvl>
  </w:abstractNum>
  <w:abstractNum w:abstractNumId="22">
    <w:nsid w:val="440BADFC"/>
    <w:multiLevelType w:val="hybridMultilevel"/>
    <w:lvl w:ilvl="0">
      <w:lvlJc w:val="left"/>
      <w:lvlText w:val="3"/>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166" Type="http://schemas.openxmlformats.org/officeDocument/2006/relationships/hyperlink" Target="https://www.sec.gov/Archives/edgar/data/0001468327/000119312521313321/d211519dex31.htm" TargetMode="External"/><Relationship Id="rId167" Type="http://schemas.openxmlformats.org/officeDocument/2006/relationships/hyperlink" Target="https://www.sec.gov/Archives/edgar/data/1468327/000146832724000100/exhibit31certificateofam.htm" TargetMode="External"/><Relationship Id="rId168"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2025-09-12T08:18:55Z</dcterms:created>
  <dcterms:modified xsi:type="dcterms:W3CDTF">2025-09-12T08:18:55Z</dcterms:modified>
</cp:coreProperties>
</file>